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F" w:rsidRDefault="003F13BF">
      <w:pPr>
        <w:rPr>
          <w:b/>
          <w:u w:val="single"/>
        </w:rPr>
      </w:pPr>
      <w:r>
        <w:rPr>
          <w:b/>
          <w:u w:val="single"/>
        </w:rPr>
        <w:t>Obsah:</w:t>
      </w:r>
    </w:p>
    <w:p w:rsidR="003F13BF" w:rsidRDefault="003F13BF">
      <w:pPr>
        <w:rPr>
          <w:b/>
          <w:sz w:val="28"/>
          <w:u w:val="single"/>
        </w:rPr>
      </w:pPr>
    </w:p>
    <w:p w:rsidR="00A21F67" w:rsidRDefault="00313137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313137">
        <w:rPr>
          <w:b w:val="0"/>
          <w:i w:val="0"/>
          <w:sz w:val="28"/>
          <w:u w:val="single"/>
        </w:rPr>
        <w:fldChar w:fldCharType="begin"/>
      </w:r>
      <w:r w:rsidR="003F13BF">
        <w:rPr>
          <w:b w:val="0"/>
          <w:i w:val="0"/>
          <w:sz w:val="28"/>
          <w:u w:val="single"/>
        </w:rPr>
        <w:instrText xml:space="preserve"> TOC \o "1-4" </w:instrText>
      </w:r>
      <w:r w:rsidRPr="00313137">
        <w:rPr>
          <w:b w:val="0"/>
          <w:i w:val="0"/>
          <w:sz w:val="28"/>
          <w:u w:val="single"/>
        </w:rPr>
        <w:fldChar w:fldCharType="separate"/>
      </w:r>
      <w:r w:rsidR="00A21F67">
        <w:rPr>
          <w:noProof/>
        </w:rPr>
        <w:t>D - T E C H N I C K Á     Z P R Á V A</w:t>
      </w:r>
      <w:r w:rsidR="00A21F67">
        <w:rPr>
          <w:noProof/>
        </w:rPr>
        <w:tab/>
      </w:r>
      <w:r w:rsidR="00A21F67">
        <w:rPr>
          <w:noProof/>
        </w:rPr>
        <w:fldChar w:fldCharType="begin"/>
      </w:r>
      <w:r w:rsidR="00A21F67">
        <w:rPr>
          <w:noProof/>
        </w:rPr>
        <w:instrText xml:space="preserve"> PAGEREF _Toc459105718 \h </w:instrText>
      </w:r>
      <w:r w:rsidR="00A21F67">
        <w:rPr>
          <w:noProof/>
        </w:rPr>
      </w:r>
      <w:r w:rsidR="00A21F67">
        <w:rPr>
          <w:noProof/>
        </w:rPr>
        <w:fldChar w:fldCharType="separate"/>
      </w:r>
      <w:r w:rsidR="000000B4">
        <w:rPr>
          <w:noProof/>
        </w:rPr>
        <w:t>2</w:t>
      </w:r>
      <w:r w:rsidR="00A21F67"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a) popis inženýrského objektu, jeho funkčního a technického řešení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_Toc459105719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2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b)  požadavky na vybavení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_Toc459105720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c) napojení na stávající technickou infrastrukturu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_Toc459105721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d) vliv na povrchové a podzemní vody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_Toc459105722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e) údaje o zpracování technických výpočtech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_Toc459105723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f) požadavky na postup stavebních a montážních prací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_Toc459105724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g) požadavky na provoz zařízení,materiál, dopravě, skladování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_Toc459105725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3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h) řešení komunikací a ploch pro osoby s omezenou schopností pohybu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_Toc459105726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i) důsledky na životní prostředí a bezpečnost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_Toc459105727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noProof/>
        </w:rPr>
        <w:t>2.2. Výkresová část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_Toc459105728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f) podklady pro vytýčení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_Toc459105729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rPr>
          <w:noProof/>
        </w:rPr>
        <w:t>2.3. Statické výpočty a výkresy: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_Toc459105730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Návrh trasy: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_Toc459105731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F423DB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Montáž vodovodu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_Toc459105732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Montáž vodovodních řadů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_Toc459105733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4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Spojování potrubí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_Toc459105734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5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Tlaková zkouška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_Toc459105735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5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2.4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Označení armatur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_Toc459105736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5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2.5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Úpravy povrchu zásypu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_Toc459105737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5</w:t>
      </w:r>
      <w:r>
        <w:rPr>
          <w:noProof/>
        </w:rPr>
        <w:fldChar w:fldCharType="end"/>
      </w:r>
    </w:p>
    <w:p w:rsidR="00A21F67" w:rsidRDefault="00A21F67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F423DB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Montáž kanalizace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_Toc459105738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6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Hloubení rýh pro kanalizaci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_Toc459105739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6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Montáž potrubí PVC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_Toc459105740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6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Montáž potrubí je velmi jednoduchá a provádí se takto: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_Toc459105741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6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3.4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Pokládka potrubí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_Toc459105742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6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3.5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Přípravné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_Toc459105743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7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3.6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Obsyp a hutnění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_Toc459105744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7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3.7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Zásyp rýhy s potrubím v zóně opětovného zásypu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_Toc459105745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7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bCs/>
          <w:noProof/>
        </w:rPr>
        <w:t>3.8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Kontrola jakosti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_Toc459105746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7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3.9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Zkouška vodotěsnosti stoky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_Toc459105747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7</w:t>
      </w:r>
      <w:r>
        <w:rPr>
          <w:noProof/>
        </w:rPr>
        <w:fldChar w:fldCharType="end"/>
      </w:r>
    </w:p>
    <w:p w:rsidR="00A21F67" w:rsidRDefault="00A21F67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F423DB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Šachty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_Toc459105748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8</w:t>
      </w:r>
      <w:r>
        <w:rPr>
          <w:noProof/>
        </w:rPr>
        <w:fldChar w:fldCharType="end"/>
      </w:r>
    </w:p>
    <w:p w:rsidR="00A21F67" w:rsidRDefault="00A21F67">
      <w:pPr>
        <w:pStyle w:val="Obsah2"/>
        <w:tabs>
          <w:tab w:val="left" w:pos="14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F423DB"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Materiál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_Toc459105749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8</w:t>
      </w:r>
      <w:r>
        <w:rPr>
          <w:noProof/>
        </w:rPr>
        <w:fldChar w:fldCharType="end"/>
      </w:r>
    </w:p>
    <w:p w:rsidR="00A21F67" w:rsidRDefault="00A21F67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F423DB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Vytyčovací souřadnice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_Toc459105750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8</w:t>
      </w:r>
      <w:r>
        <w:rPr>
          <w:noProof/>
        </w:rPr>
        <w:fldChar w:fldCharType="end"/>
      </w:r>
    </w:p>
    <w:p w:rsidR="00A21F67" w:rsidRDefault="00A21F67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F423DB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_Toc459105751 \h </w:instrText>
      </w:r>
      <w:r>
        <w:rPr>
          <w:noProof/>
        </w:rPr>
      </w:r>
      <w:r>
        <w:rPr>
          <w:noProof/>
        </w:rPr>
        <w:fldChar w:fldCharType="separate"/>
      </w:r>
      <w:r w:rsidR="000000B4">
        <w:rPr>
          <w:noProof/>
        </w:rPr>
        <w:t>9</w:t>
      </w:r>
      <w:r>
        <w:rPr>
          <w:noProof/>
        </w:rPr>
        <w:fldChar w:fldCharType="end"/>
      </w:r>
    </w:p>
    <w:p w:rsidR="003F13BF" w:rsidRDefault="00313137">
      <w:pPr>
        <w:spacing w:before="120"/>
        <w:ind w:firstLine="0"/>
        <w:rPr>
          <w:b/>
          <w:sz w:val="22"/>
          <w:u w:val="single"/>
        </w:rPr>
      </w:pPr>
      <w:r>
        <w:rPr>
          <w:b/>
          <w:i/>
          <w:sz w:val="28"/>
          <w:u w:val="single"/>
        </w:rPr>
        <w:lastRenderedPageBreak/>
        <w:fldChar w:fldCharType="end"/>
      </w:r>
      <w:r w:rsidR="003F13BF">
        <w:rPr>
          <w:b/>
          <w:sz w:val="22"/>
        </w:rPr>
        <w:t xml:space="preserve"> </w:t>
      </w:r>
    </w:p>
    <w:p w:rsidR="003F13BF" w:rsidRDefault="006B5D2C" w:rsidP="00F34870">
      <w:pPr>
        <w:pStyle w:val="Nadpis1"/>
        <w:numPr>
          <w:ilvl w:val="0"/>
          <w:numId w:val="0"/>
        </w:numPr>
        <w:jc w:val="center"/>
      </w:pPr>
      <w:bookmarkStart w:id="0" w:name="_Toc459105718"/>
      <w:r>
        <w:t>D</w:t>
      </w:r>
      <w:r w:rsidR="00D553FB">
        <w:t xml:space="preserve"> -</w:t>
      </w:r>
      <w:r w:rsidR="003F13BF">
        <w:t xml:space="preserve"> </w:t>
      </w:r>
      <w:r w:rsidR="00D553FB">
        <w:t>T E C H N I C K Á</w:t>
      </w:r>
      <w:r w:rsidR="003F13BF">
        <w:t xml:space="preserve">     Z P R Á V A</w:t>
      </w:r>
      <w:bookmarkEnd w:id="0"/>
    </w:p>
    <w:p w:rsidR="003F13BF" w:rsidRDefault="003F13BF">
      <w:r>
        <w:t xml:space="preserve">                 </w:t>
      </w:r>
    </w:p>
    <w:p w:rsidR="00D26A36" w:rsidRDefault="00493D46" w:rsidP="006F203E">
      <w:pPr>
        <w:pStyle w:val="Nadpis2"/>
        <w:numPr>
          <w:ilvl w:val="0"/>
          <w:numId w:val="0"/>
        </w:numPr>
      </w:pPr>
      <w:bookmarkStart w:id="1" w:name="_Toc459105719"/>
      <w:r>
        <w:t>a) popis inženýrského objektu, jeho funkčního a technického řešení</w:t>
      </w:r>
      <w:bookmarkEnd w:id="1"/>
    </w:p>
    <w:p w:rsidR="00617E05" w:rsidRDefault="00617E05" w:rsidP="006E56B7">
      <w:pPr>
        <w:pStyle w:val="Zkladntext"/>
        <w:rPr>
          <w:b/>
        </w:rPr>
      </w:pPr>
    </w:p>
    <w:p w:rsidR="006E56B7" w:rsidRDefault="006E56B7" w:rsidP="006E56B7">
      <w:pPr>
        <w:pStyle w:val="Zkladntext"/>
        <w:rPr>
          <w:rFonts w:cs="Arial"/>
        </w:rPr>
      </w:pPr>
      <w:r w:rsidRPr="00A34D38">
        <w:rPr>
          <w:b/>
        </w:rPr>
        <w:t>Vodovod</w:t>
      </w:r>
      <w:r w:rsidR="00C456CE">
        <w:rPr>
          <w:b/>
        </w:rPr>
        <w:t>,  kanalizace</w:t>
      </w:r>
      <w:r>
        <w:t xml:space="preserve"> - </w:t>
      </w:r>
    </w:p>
    <w:p w:rsidR="0085363F" w:rsidRDefault="006F203E" w:rsidP="006F203E">
      <w:pPr>
        <w:pStyle w:val="Zkladntext"/>
        <w:rPr>
          <w:rFonts w:cs="Arial"/>
        </w:rPr>
      </w:pPr>
      <w:r>
        <w:rPr>
          <w:rFonts w:cs="Arial"/>
        </w:rPr>
        <w:t xml:space="preserve">Městys Divišov má zásobování pitnou vodou ze Želivky, včetně </w:t>
      </w:r>
      <w:r w:rsidR="0085363F">
        <w:rPr>
          <w:rFonts w:cs="Arial"/>
        </w:rPr>
        <w:t>centrální ČOV.</w:t>
      </w:r>
      <w:r>
        <w:rPr>
          <w:rFonts w:cs="Arial"/>
        </w:rPr>
        <w:t xml:space="preserve"> </w:t>
      </w:r>
    </w:p>
    <w:p w:rsidR="0085363F" w:rsidRDefault="0085363F" w:rsidP="006F203E">
      <w:pPr>
        <w:pStyle w:val="Zkladntext"/>
        <w:rPr>
          <w:rFonts w:cs="Arial"/>
        </w:rPr>
      </w:pPr>
      <w:r w:rsidRPr="00A34D38">
        <w:rPr>
          <w:b/>
        </w:rPr>
        <w:t>Vodovod</w:t>
      </w:r>
      <w:r>
        <w:t xml:space="preserve"> - </w:t>
      </w:r>
    </w:p>
    <w:p w:rsidR="00E00EDB" w:rsidRPr="00DB180C" w:rsidRDefault="006F203E" w:rsidP="006F203E">
      <w:pPr>
        <w:pStyle w:val="Zkladntext"/>
        <w:rPr>
          <w:rFonts w:cs="Arial"/>
          <w:color w:val="FF0000"/>
        </w:rPr>
      </w:pPr>
      <w:r>
        <w:rPr>
          <w:rFonts w:cs="Arial"/>
        </w:rPr>
        <w:t xml:space="preserve">V Benešovské ulice leží vodovodní </w:t>
      </w:r>
      <w:r w:rsidR="00617E05">
        <w:rPr>
          <w:rFonts w:cs="Arial"/>
        </w:rPr>
        <w:t>řad, směrem</w:t>
      </w:r>
      <w:r>
        <w:rPr>
          <w:rFonts w:cs="Arial"/>
        </w:rPr>
        <w:t xml:space="preserve"> k</w:t>
      </w:r>
      <w:r w:rsidR="00E00EDB">
        <w:rPr>
          <w:rFonts w:cs="Arial"/>
        </w:rPr>
        <w:t xml:space="preserve"> ploché dráze v délce cca 80 bm u </w:t>
      </w:r>
      <w:r>
        <w:rPr>
          <w:rFonts w:cs="Arial"/>
        </w:rPr>
        <w:t xml:space="preserve"> </w:t>
      </w:r>
      <w:r w:rsidR="00E00EDB">
        <w:t>č.parc.912 č.p.42</w:t>
      </w:r>
      <w:r w:rsidR="00AA28DE">
        <w:t>, který je ukončen</w:t>
      </w:r>
      <w:r w:rsidR="00E00EDB">
        <w:t xml:space="preserve"> podzemním hydrantem a jistícím šoupětem</w:t>
      </w:r>
      <w:r w:rsidR="00E00EDB">
        <w:rPr>
          <w:rFonts w:cs="Arial"/>
        </w:rPr>
        <w:t xml:space="preserve"> </w:t>
      </w:r>
      <w:r>
        <w:rPr>
          <w:rFonts w:cs="Arial"/>
        </w:rPr>
        <w:t xml:space="preserve">Na tento stávající vodovodní řad bude připojen </w:t>
      </w:r>
      <w:r w:rsidR="00617E05">
        <w:rPr>
          <w:rFonts w:cs="Arial"/>
        </w:rPr>
        <w:t xml:space="preserve">nový vodovodní </w:t>
      </w:r>
      <w:r>
        <w:rPr>
          <w:rFonts w:cs="Arial"/>
        </w:rPr>
        <w:t xml:space="preserve">řad směrem k ploché dráze </w:t>
      </w:r>
      <w:r w:rsidRPr="00542EA4">
        <w:rPr>
          <w:rFonts w:cs="Arial"/>
          <w:szCs w:val="24"/>
        </w:rPr>
        <w:t xml:space="preserve">v délce </w:t>
      </w:r>
      <w:r w:rsidR="00FD76DD" w:rsidRPr="00542EA4">
        <w:rPr>
          <w:rFonts w:cs="Arial"/>
          <w:szCs w:val="24"/>
        </w:rPr>
        <w:t>120</w:t>
      </w:r>
      <w:r w:rsidRPr="00542EA4">
        <w:rPr>
          <w:rFonts w:cs="Arial"/>
          <w:szCs w:val="24"/>
        </w:rPr>
        <w:t xml:space="preserve"> bm, </w:t>
      </w:r>
      <w:r w:rsidR="00DB180C" w:rsidRPr="00542EA4">
        <w:rPr>
          <w:rFonts w:cs="Arial"/>
          <w:szCs w:val="24"/>
        </w:rPr>
        <w:t>trubky PE 100</w:t>
      </w:r>
      <w:r w:rsidR="00542EA4">
        <w:rPr>
          <w:rFonts w:cs="Arial"/>
          <w:szCs w:val="24"/>
        </w:rPr>
        <w:t xml:space="preserve"> RC</w:t>
      </w:r>
      <w:r w:rsidR="00DB180C" w:rsidRPr="00542EA4">
        <w:rPr>
          <w:rFonts w:cs="Arial"/>
          <w:szCs w:val="24"/>
        </w:rPr>
        <w:t>+SDR 1</w:t>
      </w:r>
      <w:r w:rsidR="00542EA4">
        <w:rPr>
          <w:rFonts w:cs="Arial"/>
          <w:szCs w:val="24"/>
        </w:rPr>
        <w:t>1 Safe Tech RC</w:t>
      </w:r>
      <w:r w:rsidR="00DB180C" w:rsidRPr="00542EA4">
        <w:rPr>
          <w:rFonts w:cs="Arial"/>
          <w:szCs w:val="24"/>
        </w:rPr>
        <w:t>-110/</w:t>
      </w:r>
      <w:r w:rsidR="00542EA4">
        <w:rPr>
          <w:rFonts w:cs="Arial"/>
          <w:szCs w:val="24"/>
        </w:rPr>
        <w:t>10</w:t>
      </w:r>
      <w:r w:rsidR="00DB180C" w:rsidRPr="00542EA4">
        <w:rPr>
          <w:rFonts w:cs="Arial"/>
          <w:szCs w:val="24"/>
        </w:rPr>
        <w:t xml:space="preserve"> mm.</w:t>
      </w:r>
    </w:p>
    <w:p w:rsidR="0085363F" w:rsidRDefault="0085363F" w:rsidP="0085363F">
      <w:pPr>
        <w:pStyle w:val="Zkladntext"/>
        <w:rPr>
          <w:szCs w:val="24"/>
        </w:rPr>
      </w:pPr>
      <w:r>
        <w:t>Napojení nového vodovodního ř</w:t>
      </w:r>
      <w:r w:rsidRPr="00A34D38">
        <w:rPr>
          <w:szCs w:val="24"/>
        </w:rPr>
        <w:t>adu</w:t>
      </w:r>
      <w:r>
        <w:rPr>
          <w:szCs w:val="24"/>
        </w:rPr>
        <w:t xml:space="preserve"> bude pomocí litinové odbočky 100/100 mm, s jistícím vodárenským šoupětem. Stávající hydrant bude </w:t>
      </w:r>
      <w:r w:rsidR="00617E05">
        <w:rPr>
          <w:szCs w:val="24"/>
        </w:rPr>
        <w:t>vyměněn za</w:t>
      </w:r>
      <w:r>
        <w:rPr>
          <w:szCs w:val="24"/>
        </w:rPr>
        <w:t xml:space="preserve"> nový a bude ponechán na současném místě. Na nové trase směrem k ploché dráze </w:t>
      </w:r>
      <w:r w:rsidR="00617E05">
        <w:rPr>
          <w:szCs w:val="24"/>
        </w:rPr>
        <w:t>j</w:t>
      </w:r>
      <w:r w:rsidR="00542EA4">
        <w:rPr>
          <w:szCs w:val="24"/>
        </w:rPr>
        <w:t>e</w:t>
      </w:r>
      <w:r w:rsidR="00617E05">
        <w:rPr>
          <w:szCs w:val="24"/>
        </w:rPr>
        <w:t xml:space="preserve"> navr</w:t>
      </w:r>
      <w:r w:rsidR="004B2AE0">
        <w:rPr>
          <w:szCs w:val="24"/>
        </w:rPr>
        <w:t xml:space="preserve">žen </w:t>
      </w:r>
      <w:r>
        <w:rPr>
          <w:szCs w:val="24"/>
        </w:rPr>
        <w:t xml:space="preserve">další podzemní hydrant, </w:t>
      </w:r>
      <w:r w:rsidR="00542EA4">
        <w:rPr>
          <w:szCs w:val="24"/>
        </w:rPr>
        <w:t>a to v lom</w:t>
      </w:r>
      <w:r w:rsidR="00AA28DE">
        <w:rPr>
          <w:szCs w:val="24"/>
        </w:rPr>
        <w:t>u</w:t>
      </w:r>
      <w:r w:rsidR="00542EA4">
        <w:rPr>
          <w:szCs w:val="24"/>
        </w:rPr>
        <w:t xml:space="preserve"> před dalším protlakem pod silnici č.111. Tyto podzemní hydranty </w:t>
      </w:r>
      <w:r>
        <w:rPr>
          <w:szCs w:val="24"/>
        </w:rPr>
        <w:t xml:space="preserve">budou sloužit </w:t>
      </w:r>
      <w:r w:rsidR="00542EA4">
        <w:rPr>
          <w:szCs w:val="24"/>
        </w:rPr>
        <w:t xml:space="preserve">pouze </w:t>
      </w:r>
      <w:r>
        <w:rPr>
          <w:szCs w:val="24"/>
        </w:rPr>
        <w:t>pro vlastní provozování této nové vodovodní větve. Detailně t.j.</w:t>
      </w:r>
      <w:r w:rsidR="006A5BCD">
        <w:rPr>
          <w:szCs w:val="24"/>
        </w:rPr>
        <w:t xml:space="preserve"> </w:t>
      </w:r>
      <w:r>
        <w:rPr>
          <w:szCs w:val="24"/>
        </w:rPr>
        <w:t xml:space="preserve">kladečský plán a podélný profil </w:t>
      </w:r>
      <w:r w:rsidR="004B2AE0">
        <w:rPr>
          <w:szCs w:val="24"/>
        </w:rPr>
        <w:t>j</w:t>
      </w:r>
      <w:r>
        <w:rPr>
          <w:szCs w:val="24"/>
        </w:rPr>
        <w:t>e v PD pro stavební povolení.</w:t>
      </w:r>
    </w:p>
    <w:p w:rsidR="00410A6E" w:rsidRDefault="00410A6E" w:rsidP="00410A6E">
      <w:pPr>
        <w:pStyle w:val="Zkladntextodsazen"/>
        <w:rPr>
          <w:rFonts w:cs="Arial"/>
          <w:szCs w:val="24"/>
        </w:rPr>
      </w:pPr>
      <w:r>
        <w:rPr>
          <w:rFonts w:cs="Arial"/>
          <w:szCs w:val="24"/>
        </w:rPr>
        <w:t>Výškové poměry – zemní vodojem je v nadmořské výšce</w:t>
      </w:r>
      <w:r w:rsidR="0034668E">
        <w:rPr>
          <w:rFonts w:cs="Arial"/>
          <w:szCs w:val="24"/>
        </w:rPr>
        <w:t xml:space="preserve"> 518-514 m.n.m</w:t>
      </w:r>
      <w:r>
        <w:rPr>
          <w:rFonts w:cs="Arial"/>
          <w:szCs w:val="24"/>
        </w:rPr>
        <w:t xml:space="preserve"> </w:t>
      </w:r>
    </w:p>
    <w:p w:rsidR="00410A6E" w:rsidRDefault="00410A6E" w:rsidP="00410A6E">
      <w:pPr>
        <w:pStyle w:val="Zkladntextodsazen"/>
        <w:rPr>
          <w:rFonts w:cs="Arial"/>
          <w:szCs w:val="24"/>
        </w:rPr>
      </w:pPr>
      <w:r>
        <w:rPr>
          <w:rFonts w:cs="Arial"/>
          <w:szCs w:val="24"/>
        </w:rPr>
        <w:t>Provozní budova u ploch dráhy v nadmořské výšce 499 m.n.m</w:t>
      </w:r>
      <w:r w:rsidR="00AA28DE">
        <w:rPr>
          <w:rFonts w:cs="Arial"/>
          <w:szCs w:val="24"/>
        </w:rPr>
        <w:t>, rozdíl je při max.hladině 19 m, při min.hladině 15 m. V případě další stavební výstavbě směrem z Divišova na Benešov po levé straně, bude nutné vybudovat tlakovou stanici.</w:t>
      </w:r>
    </w:p>
    <w:p w:rsidR="00ED767A" w:rsidRDefault="00410A6E" w:rsidP="00AD4D7A">
      <w:pPr>
        <w:pStyle w:val="Zkladntextodsazen"/>
        <w:rPr>
          <w:rFonts w:cs="Arial"/>
          <w:szCs w:val="24"/>
        </w:rPr>
      </w:pPr>
      <w:r>
        <w:rPr>
          <w:rFonts w:cs="Arial"/>
          <w:szCs w:val="24"/>
        </w:rPr>
        <w:t xml:space="preserve">I z těchto důvodů je navržen </w:t>
      </w:r>
      <w:r w:rsidR="00AA28DE">
        <w:rPr>
          <w:rFonts w:cs="Arial"/>
          <w:szCs w:val="24"/>
        </w:rPr>
        <w:t>průměr vodovodního řadu 110 mm, tak že tlakové poměry se nezhorší a zůstanou na stejné úrovni.</w:t>
      </w:r>
    </w:p>
    <w:p w:rsidR="00ED767A" w:rsidRDefault="00ED767A" w:rsidP="00AD4D7A">
      <w:pPr>
        <w:pStyle w:val="Zkladntextodsazen"/>
        <w:rPr>
          <w:rFonts w:cs="Arial"/>
          <w:szCs w:val="24"/>
        </w:rPr>
      </w:pPr>
      <w:r>
        <w:rPr>
          <w:rFonts w:cs="Arial"/>
          <w:szCs w:val="24"/>
        </w:rPr>
        <w:t>Nové propojení nesníží tlak v síti, naopak je zajištěna dodávka pitné vody do areálu ploché dráhy bude ze dvou stran-výhod při eventuální poruše na vodovodních řadech.</w:t>
      </w:r>
    </w:p>
    <w:p w:rsidR="00AD4D7A" w:rsidRDefault="00617E05" w:rsidP="00141EBF">
      <w:pPr>
        <w:pStyle w:val="Zkladntext"/>
        <w:ind w:left="284" w:firstLine="283"/>
      </w:pPr>
      <w:r>
        <w:rPr>
          <w:szCs w:val="24"/>
        </w:rPr>
        <w:t xml:space="preserve">Při vlastním napojování na </w:t>
      </w:r>
      <w:r w:rsidR="006E56B7" w:rsidRPr="00A34D38">
        <w:rPr>
          <w:szCs w:val="24"/>
        </w:rPr>
        <w:t xml:space="preserve">stávající vodovodní </w:t>
      </w:r>
      <w:r>
        <w:rPr>
          <w:szCs w:val="24"/>
        </w:rPr>
        <w:t xml:space="preserve">řad </w:t>
      </w:r>
      <w:r w:rsidR="006E56B7" w:rsidRPr="00A34D38">
        <w:rPr>
          <w:szCs w:val="24"/>
        </w:rPr>
        <w:t xml:space="preserve">bude na cca </w:t>
      </w:r>
      <w:r w:rsidR="006E56B7">
        <w:rPr>
          <w:szCs w:val="24"/>
        </w:rPr>
        <w:t>2</w:t>
      </w:r>
      <w:r w:rsidR="006E56B7" w:rsidRPr="00A34D38">
        <w:rPr>
          <w:szCs w:val="24"/>
        </w:rPr>
        <w:t xml:space="preserve"> hodin</w:t>
      </w:r>
      <w:r w:rsidR="006E56B7">
        <w:rPr>
          <w:szCs w:val="24"/>
        </w:rPr>
        <w:t>y</w:t>
      </w:r>
      <w:r>
        <w:rPr>
          <w:szCs w:val="24"/>
        </w:rPr>
        <w:t xml:space="preserve"> uzavřena dodávka pitné vody do této části obce</w:t>
      </w:r>
      <w:r w:rsidR="006E56B7" w:rsidRPr="00A34D38">
        <w:rPr>
          <w:szCs w:val="24"/>
        </w:rPr>
        <w:t xml:space="preserve">. Dodavatel stavby zajistí včasné ohlášení uzavření vody a po dohodě s provozovatelem, eventuálně zajistí cisternu s pitnou vodou. </w:t>
      </w:r>
      <w:r w:rsidR="0085363F">
        <w:t>Vodovodní přípojky nejsou součástí této PD. Jinak ale lze všechny nové stavební parcely bez problému napojit na nově navržený vodovodní řad.</w:t>
      </w:r>
    </w:p>
    <w:p w:rsidR="0085363F" w:rsidRDefault="00141EBF" w:rsidP="00ED767A">
      <w:pPr>
        <w:pStyle w:val="Zkladntext"/>
        <w:ind w:left="284" w:firstLine="283"/>
        <w:rPr>
          <w:rFonts w:cs="Arial"/>
        </w:rPr>
      </w:pPr>
      <w:r>
        <w:rPr>
          <w:szCs w:val="24"/>
        </w:rPr>
        <w:t>Výpočet potřeby pitné vody nebyl</w:t>
      </w:r>
      <w:r w:rsidR="00CD678B">
        <w:rPr>
          <w:szCs w:val="24"/>
        </w:rPr>
        <w:t xml:space="preserve"> </w:t>
      </w:r>
      <w:r>
        <w:rPr>
          <w:szCs w:val="24"/>
        </w:rPr>
        <w:t>provádě</w:t>
      </w:r>
      <w:r w:rsidR="006A5BCD">
        <w:rPr>
          <w:szCs w:val="24"/>
        </w:rPr>
        <w:t>n</w:t>
      </w:r>
      <w:r>
        <w:rPr>
          <w:szCs w:val="24"/>
        </w:rPr>
        <w:t>, dle dostupných informací k nárůstu spotřeby by zatím nemělo docházet</w:t>
      </w:r>
      <w:r w:rsidR="00AA28DE">
        <w:rPr>
          <w:szCs w:val="24"/>
        </w:rPr>
        <w:t>.</w:t>
      </w:r>
    </w:p>
    <w:p w:rsidR="006E56B7" w:rsidRDefault="006E56B7" w:rsidP="006E56B7">
      <w:pPr>
        <w:pStyle w:val="Zkladntext"/>
        <w:rPr>
          <w:rFonts w:cs="Arial"/>
        </w:rPr>
      </w:pPr>
      <w:r>
        <w:rPr>
          <w:b/>
        </w:rPr>
        <w:t xml:space="preserve">Kanalizace - </w:t>
      </w:r>
    </w:p>
    <w:p w:rsidR="0085363F" w:rsidRDefault="006F203E" w:rsidP="0085363F">
      <w:r>
        <w:rPr>
          <w:rFonts w:cs="Arial"/>
        </w:rPr>
        <w:t>Splašková kanalizace je ukončena na</w:t>
      </w:r>
      <w:r w:rsidR="00AA28DE">
        <w:rPr>
          <w:rFonts w:cs="Arial"/>
        </w:rPr>
        <w:t>d</w:t>
      </w:r>
      <w:r>
        <w:rPr>
          <w:rFonts w:cs="Arial"/>
        </w:rPr>
        <w:t xml:space="preserve"> křižovat</w:t>
      </w:r>
      <w:r w:rsidR="00AA28DE">
        <w:rPr>
          <w:rFonts w:cs="Arial"/>
        </w:rPr>
        <w:t>kou</w:t>
      </w:r>
      <w:r>
        <w:rPr>
          <w:rFonts w:cs="Arial"/>
        </w:rPr>
        <w:t xml:space="preserve"> Divišov-Dalovy, kde je koncová revizní šachta. Tato šachta bude jako výchozí pro pokračování směrem k ploché dráze. Nová kanalizační stoka je navržena z</w:t>
      </w:r>
      <w:r w:rsidR="00DB180C">
        <w:rPr>
          <w:rFonts w:cs="Arial"/>
        </w:rPr>
        <w:t> ECOPAL PP SN 12-</w:t>
      </w:r>
      <w:r w:rsidR="00DB180C">
        <w:rPr>
          <w:rFonts w:cs="Arial"/>
        </w:rPr>
        <w:lastRenderedPageBreak/>
        <w:t> 315/273 mm</w:t>
      </w:r>
      <w:r w:rsidR="00AA28DE">
        <w:rPr>
          <w:rFonts w:cs="Arial"/>
        </w:rPr>
        <w:t>(nebo KGEM)</w:t>
      </w:r>
      <w:r>
        <w:rPr>
          <w:rFonts w:cs="Arial"/>
        </w:rPr>
        <w:t xml:space="preserve"> v délce 371m. Na trase je celkem navrženo 11 betonových kanalizačních revizních šachet</w:t>
      </w:r>
      <w:r w:rsidR="00650DC6">
        <w:rPr>
          <w:rFonts w:cs="Arial"/>
        </w:rPr>
        <w:t>, poklopy jsou navrženy jako pojízdné se zatížením 4</w:t>
      </w:r>
      <w:r w:rsidR="0085363F">
        <w:rPr>
          <w:rFonts w:cs="Arial"/>
        </w:rPr>
        <w:t>0 kN</w:t>
      </w:r>
      <w:r w:rsidR="00650DC6">
        <w:rPr>
          <w:rFonts w:cs="Arial"/>
        </w:rPr>
        <w:t xml:space="preserve">. Pokud se současně vybuduje chodník pouze pro pěší, tak budou použity poklopy ze zatížením </w:t>
      </w:r>
      <w:r w:rsidR="0085363F" w:rsidRPr="0085363F">
        <w:t>A 125 kN pěší zóny, chodníky, plochy pro stání os.</w:t>
      </w:r>
      <w:r w:rsidR="00AD4D7A">
        <w:t>a</w:t>
      </w:r>
      <w:r w:rsidR="00AD4D7A" w:rsidRPr="0085363F">
        <w:t>utomobilů</w:t>
      </w:r>
      <w:r w:rsidR="0085363F" w:rsidRPr="0085363F">
        <w:t xml:space="preserve">. </w:t>
      </w:r>
      <w:r w:rsidR="0085363F">
        <w:t>Doporučujeme tyto poklopy, protože některé revizní šachty mohou být v příštích vjezdech na přilehlé pozemky</w:t>
      </w:r>
      <w:r w:rsidR="00141EBF">
        <w:t>.</w:t>
      </w:r>
    </w:p>
    <w:p w:rsidR="00141EBF" w:rsidRPr="0085363F" w:rsidRDefault="00141EBF" w:rsidP="00141EBF">
      <w:pPr>
        <w:pStyle w:val="Zkladntext"/>
        <w:ind w:left="284" w:firstLine="283"/>
      </w:pPr>
      <w:r>
        <w:t xml:space="preserve">Kanalizační přípojky nejsou součástí této PD. Jinak ale lze všechny nové stavební parcely bez problému napojit na nově navrženou stoku. </w:t>
      </w:r>
    </w:p>
    <w:p w:rsidR="001C55C0" w:rsidRDefault="00B936E2" w:rsidP="00B936E2">
      <w:pPr>
        <w:pStyle w:val="Nadpis2"/>
        <w:numPr>
          <w:ilvl w:val="0"/>
          <w:numId w:val="0"/>
        </w:numPr>
      </w:pPr>
      <w:bookmarkStart w:id="2" w:name="_Toc459105720"/>
      <w:r w:rsidRPr="00B936E2">
        <w:t xml:space="preserve">b) </w:t>
      </w:r>
      <w:r>
        <w:t xml:space="preserve"> </w:t>
      </w:r>
      <w:r w:rsidRPr="00B936E2">
        <w:t>požadavky na vybavení</w:t>
      </w:r>
      <w:bookmarkEnd w:id="2"/>
    </w:p>
    <w:p w:rsidR="00B936E2" w:rsidRPr="00B936E2" w:rsidRDefault="00B936E2" w:rsidP="00B936E2"/>
    <w:p w:rsidR="001C55C0" w:rsidRDefault="00B936E2" w:rsidP="007836DC">
      <w:pPr>
        <w:ind w:left="284" w:firstLine="283"/>
      </w:pPr>
      <w:r>
        <w:t>Stavební firma,</w:t>
      </w:r>
      <w:r w:rsidR="00DB180C">
        <w:t xml:space="preserve"> </w:t>
      </w:r>
      <w:r>
        <w:t xml:space="preserve">která bude provádět toto vodohospodářské dílo, musí být vybavena jak mechanizací, tak i speciální svařovací </w:t>
      </w:r>
      <w:r w:rsidR="00AD4D7A">
        <w:t>technikou, protože</w:t>
      </w:r>
      <w:r>
        <w:t xml:space="preserve"> navržené potrubí je z polyetylenu, který se svažuje technologií na tupo. Dále musí </w:t>
      </w:r>
      <w:r w:rsidR="0084021C">
        <w:t>mít dělníky</w:t>
      </w:r>
      <w:r>
        <w:t>, kteří řádně obsluhují tuto techniku.</w:t>
      </w:r>
    </w:p>
    <w:p w:rsidR="001C55C0" w:rsidRPr="004A14DB" w:rsidRDefault="004A14DB" w:rsidP="004A14DB">
      <w:pPr>
        <w:pStyle w:val="Nadpis2"/>
        <w:numPr>
          <w:ilvl w:val="0"/>
          <w:numId w:val="0"/>
        </w:numPr>
      </w:pPr>
      <w:bookmarkStart w:id="3" w:name="_Toc459105721"/>
      <w:r w:rsidRPr="004A14DB">
        <w:t>c) napojení na stávající technickou infrastrukturu</w:t>
      </w:r>
      <w:bookmarkEnd w:id="3"/>
      <w:r w:rsidRPr="004A14DB">
        <w:t xml:space="preserve"> </w:t>
      </w:r>
    </w:p>
    <w:p w:rsidR="001C55C0" w:rsidRDefault="001C55C0"/>
    <w:p w:rsidR="00A42C09" w:rsidRDefault="004A14DB" w:rsidP="004A14DB">
      <w:pPr>
        <w:ind w:left="284" w:firstLine="283"/>
      </w:pPr>
      <w:r>
        <w:t>Při vlastním provádění stavebních prací, bud</w:t>
      </w:r>
      <w:r w:rsidR="00C7188A">
        <w:t xml:space="preserve">ou </w:t>
      </w:r>
      <w:r>
        <w:t>použit</w:t>
      </w:r>
      <w:r w:rsidR="00C7188A">
        <w:t>y</w:t>
      </w:r>
      <w:r>
        <w:t xml:space="preserve"> </w:t>
      </w:r>
      <w:r w:rsidR="00C7188A">
        <w:t>pouze pozemky, kde je navržen jak vodovod tak i kanalizace</w:t>
      </w:r>
      <w:r>
        <w:t xml:space="preserve">-jedná se o </w:t>
      </w:r>
      <w:r w:rsidR="00C7188A">
        <w:t xml:space="preserve">tyto </w:t>
      </w:r>
      <w:r>
        <w:t xml:space="preserve">č.parc. </w:t>
      </w:r>
      <w:r w:rsidR="00DB180C">
        <w:t xml:space="preserve">1379/8, </w:t>
      </w:r>
      <w:r w:rsidR="009C5AB0" w:rsidRPr="009C5AB0">
        <w:rPr>
          <w:szCs w:val="24"/>
        </w:rPr>
        <w:t>1379/30, 894/3, 1379/29, 1379/28, 1356/10, 1356/9</w:t>
      </w:r>
      <w:r w:rsidR="00D26428">
        <w:rPr>
          <w:szCs w:val="24"/>
        </w:rPr>
        <w:t>, 91</w:t>
      </w:r>
      <w:r w:rsidR="00AA28DE">
        <w:rPr>
          <w:szCs w:val="24"/>
        </w:rPr>
        <w:t>5</w:t>
      </w:r>
      <w:r w:rsidR="00D26428">
        <w:rPr>
          <w:szCs w:val="24"/>
        </w:rPr>
        <w:t>/84</w:t>
      </w:r>
    </w:p>
    <w:p w:rsidR="001C55C0" w:rsidRDefault="004A14DB" w:rsidP="004A14DB">
      <w:pPr>
        <w:ind w:left="284" w:firstLine="283"/>
      </w:pPr>
      <w:r>
        <w:t>Žádná jiná infrastruktura nebude použita.</w:t>
      </w:r>
    </w:p>
    <w:p w:rsidR="003F13BF" w:rsidRPr="007E6A1D" w:rsidRDefault="00EE5B71" w:rsidP="007E6A1D">
      <w:pPr>
        <w:pStyle w:val="Nadpis2"/>
        <w:numPr>
          <w:ilvl w:val="0"/>
          <w:numId w:val="0"/>
        </w:numPr>
      </w:pPr>
      <w:bookmarkStart w:id="4" w:name="_Toc459105722"/>
      <w:r w:rsidRPr="007E6A1D">
        <w:t>d) vliv na povrchové</w:t>
      </w:r>
      <w:r w:rsidR="007E6A1D" w:rsidRPr="007E6A1D">
        <w:t xml:space="preserve"> a podzemní vody</w:t>
      </w:r>
      <w:bookmarkEnd w:id="4"/>
    </w:p>
    <w:p w:rsidR="00EE5B71" w:rsidRDefault="00EE5B71"/>
    <w:p w:rsidR="007E6A1D" w:rsidRDefault="007E6A1D" w:rsidP="007E6A1D">
      <w:pPr>
        <w:pStyle w:val="Zkladntextodsazen"/>
      </w:pPr>
      <w:r>
        <w:t xml:space="preserve">Stavební rýha pro </w:t>
      </w:r>
      <w:r w:rsidR="00C67A05">
        <w:t xml:space="preserve">pokládku </w:t>
      </w:r>
      <w:r w:rsidR="007B4815">
        <w:t xml:space="preserve">jak vodovodního tak i </w:t>
      </w:r>
      <w:r w:rsidR="00C67A05">
        <w:t>kanalizačního potrubí</w:t>
      </w:r>
      <w:r w:rsidR="006C73FD">
        <w:t>,</w:t>
      </w:r>
      <w:r>
        <w:t xml:space="preserve"> nikterak neovlivn</w:t>
      </w:r>
      <w:r w:rsidR="006C73FD">
        <w:t>í jak povrchové a podzemní vody</w:t>
      </w:r>
    </w:p>
    <w:p w:rsidR="00EE5B71" w:rsidRPr="00356106" w:rsidRDefault="00356106" w:rsidP="00356106">
      <w:pPr>
        <w:pStyle w:val="Nadpis2"/>
        <w:numPr>
          <w:ilvl w:val="0"/>
          <w:numId w:val="0"/>
        </w:numPr>
      </w:pPr>
      <w:bookmarkStart w:id="5" w:name="_Toc459105723"/>
      <w:r w:rsidRPr="00356106">
        <w:t>e) údaje o zpracování technických výpočtech</w:t>
      </w:r>
      <w:bookmarkEnd w:id="5"/>
    </w:p>
    <w:p w:rsidR="00EE5B71" w:rsidRDefault="00EE5B71"/>
    <w:p w:rsidR="00AE7C05" w:rsidRDefault="00356106" w:rsidP="00356106">
      <w:pPr>
        <w:ind w:left="284" w:firstLine="283"/>
      </w:pPr>
      <w:r>
        <w:t>Navržen</w:t>
      </w:r>
      <w:r w:rsidR="00603DF5">
        <w:t xml:space="preserve">é nové </w:t>
      </w:r>
      <w:r w:rsidR="00AE7C05">
        <w:t xml:space="preserve">vodovodní </w:t>
      </w:r>
      <w:r w:rsidR="00603DF5">
        <w:t xml:space="preserve">potrubí je zpracováno na základě </w:t>
      </w:r>
      <w:r w:rsidR="00AE7C05">
        <w:t xml:space="preserve"> </w:t>
      </w:r>
      <w:r w:rsidR="00391C7D">
        <w:t>ČN 755401.</w:t>
      </w:r>
      <w:r w:rsidR="00AE7C05">
        <w:t xml:space="preserve"> </w:t>
      </w:r>
    </w:p>
    <w:p w:rsidR="00325845" w:rsidRPr="00325845" w:rsidRDefault="00325845" w:rsidP="00325845">
      <w:pPr>
        <w:pStyle w:val="Nadpis2"/>
        <w:numPr>
          <w:ilvl w:val="0"/>
          <w:numId w:val="0"/>
        </w:numPr>
      </w:pPr>
      <w:bookmarkStart w:id="6" w:name="_Toc459105724"/>
      <w:r w:rsidRPr="00325845">
        <w:t>f) požadavky na postup stavebních a montážních prací</w:t>
      </w:r>
      <w:bookmarkEnd w:id="6"/>
    </w:p>
    <w:p w:rsidR="00325845" w:rsidRDefault="00325845" w:rsidP="00356106">
      <w:pPr>
        <w:ind w:left="284" w:firstLine="283"/>
      </w:pPr>
    </w:p>
    <w:p w:rsidR="00325845" w:rsidRDefault="00325845" w:rsidP="00356106">
      <w:pPr>
        <w:ind w:left="284" w:firstLine="283"/>
      </w:pPr>
      <w:r>
        <w:t xml:space="preserve">Před zahájením veškerých zemních prací je třeba </w:t>
      </w:r>
      <w:r w:rsidR="0094714C">
        <w:t>nechat vytýčit inž.sítě</w:t>
      </w:r>
      <w:r>
        <w:t xml:space="preserve"> celém zájmovém území</w:t>
      </w:r>
      <w:r w:rsidR="0094714C">
        <w:t>.</w:t>
      </w:r>
      <w:r>
        <w:t xml:space="preserve"> V našem případě, dle vyjádření správců inž.sítě se v zájmovém území </w:t>
      </w:r>
      <w:r w:rsidR="00603DF5">
        <w:t>nacházejí jak k</w:t>
      </w:r>
      <w:r w:rsidR="007E2A51">
        <w:t>a</w:t>
      </w:r>
      <w:r w:rsidR="00C7188A">
        <w:t xml:space="preserve">bely Telecomu, STE a plynové potrubí. </w:t>
      </w:r>
      <w:r w:rsidR="003A4BB6">
        <w:t>Budou dodrženy podmínky dle vyjádření.</w:t>
      </w:r>
    </w:p>
    <w:p w:rsidR="00054F7B" w:rsidRDefault="00325845" w:rsidP="00086A40">
      <w:pPr>
        <w:ind w:left="284" w:firstLine="283"/>
      </w:pPr>
      <w:r>
        <w:t xml:space="preserve">Obecně se musí dodržet hloubky dle zpracovaného podélného profilu, </w:t>
      </w:r>
      <w:r w:rsidR="00086A40">
        <w:t xml:space="preserve">aby </w:t>
      </w:r>
      <w:r w:rsidR="00054F7B">
        <w:t>byl dodržen navržený spád potrubí.</w:t>
      </w:r>
    </w:p>
    <w:p w:rsidR="00993E1B" w:rsidRDefault="00993E1B" w:rsidP="00086A40">
      <w:pPr>
        <w:ind w:left="284" w:firstLine="283"/>
      </w:pPr>
    </w:p>
    <w:p w:rsidR="00325845" w:rsidRPr="0002142A" w:rsidRDefault="0002142A" w:rsidP="0002142A">
      <w:pPr>
        <w:pStyle w:val="Nadpis2"/>
        <w:numPr>
          <w:ilvl w:val="0"/>
          <w:numId w:val="0"/>
        </w:numPr>
      </w:pPr>
      <w:bookmarkStart w:id="7" w:name="_Toc459105725"/>
      <w:r w:rsidRPr="0002142A">
        <w:t>g) požadavky na provoz zařízení,materiál, dopravě</w:t>
      </w:r>
      <w:r w:rsidR="0020216D">
        <w:t>,</w:t>
      </w:r>
      <w:r w:rsidRPr="0002142A">
        <w:t xml:space="preserve"> skladování</w:t>
      </w:r>
      <w:bookmarkEnd w:id="7"/>
    </w:p>
    <w:p w:rsidR="00EE5B71" w:rsidRDefault="00EE5B71"/>
    <w:p w:rsidR="00CD678B" w:rsidRPr="003A4BB6" w:rsidRDefault="00012673" w:rsidP="0002142A">
      <w:pPr>
        <w:ind w:left="284" w:firstLine="283"/>
        <w:rPr>
          <w:color w:val="FF0000"/>
        </w:rPr>
      </w:pPr>
      <w:r w:rsidRPr="00C427D3">
        <w:t>Materiál je navržen z</w:t>
      </w:r>
      <w:r w:rsidR="00391C7D" w:rsidRPr="00C427D3">
        <w:t> LPe, tovární označení pro vodovodní řad je PE 100+SDR 1</w:t>
      </w:r>
      <w:r w:rsidR="00AA28DE">
        <w:t>1</w:t>
      </w:r>
      <w:r w:rsidR="00391C7D" w:rsidRPr="00C427D3">
        <w:t>-</w:t>
      </w:r>
      <w:r w:rsidR="00CD678B" w:rsidRPr="00C427D3">
        <w:t>11</w:t>
      </w:r>
      <w:r w:rsidR="00391C7D" w:rsidRPr="00C427D3">
        <w:t>0/</w:t>
      </w:r>
      <w:r w:rsidR="00097652">
        <w:t>10</w:t>
      </w:r>
      <w:r w:rsidR="00391C7D" w:rsidRPr="00C427D3">
        <w:t xml:space="preserve"> a pro kanalizační stoku je </w:t>
      </w:r>
      <w:r w:rsidR="0075330B" w:rsidRPr="00C427D3">
        <w:t xml:space="preserve"> </w:t>
      </w:r>
      <w:r w:rsidR="00731700">
        <w:rPr>
          <w:rFonts w:cs="Arial"/>
        </w:rPr>
        <w:t>ECOPAL PP SN 12- 315/273 mm.</w:t>
      </w:r>
      <w:r w:rsidR="008750D5">
        <w:rPr>
          <w:rFonts w:cs="Arial"/>
        </w:rPr>
        <w:t>(potrubí PVC KGEM)</w:t>
      </w:r>
    </w:p>
    <w:p w:rsidR="0002142A" w:rsidRDefault="0020216D" w:rsidP="00620A67">
      <w:pPr>
        <w:ind w:left="284" w:firstLine="283"/>
      </w:pPr>
      <w:r>
        <w:t xml:space="preserve">Skladování materiálů na stavbě nebude, dodavatel stavby dováží potřebný denní materiál na stavbu-dle </w:t>
      </w:r>
      <w:r w:rsidR="006C050F">
        <w:t>denní s</w:t>
      </w:r>
      <w:r>
        <w:t xml:space="preserve">potřeby. </w:t>
      </w:r>
    </w:p>
    <w:p w:rsidR="00CD678B" w:rsidRDefault="00CD678B" w:rsidP="00620A67">
      <w:pPr>
        <w:ind w:left="284" w:firstLine="283"/>
      </w:pPr>
    </w:p>
    <w:p w:rsidR="0002142A" w:rsidRPr="00BE1A14" w:rsidRDefault="00BE1A14" w:rsidP="00BE1A14">
      <w:pPr>
        <w:pStyle w:val="Nadpis2"/>
        <w:numPr>
          <w:ilvl w:val="0"/>
          <w:numId w:val="0"/>
        </w:numPr>
      </w:pPr>
      <w:bookmarkStart w:id="8" w:name="_Toc459105726"/>
      <w:r w:rsidRPr="00BE1A14">
        <w:t>h) řešení komunikací a ploch pro osoby s omezenou schopností pohybu</w:t>
      </w:r>
      <w:bookmarkEnd w:id="8"/>
    </w:p>
    <w:p w:rsidR="00BE1A14" w:rsidRDefault="00BE1A14"/>
    <w:p w:rsidR="0002142A" w:rsidRDefault="00BE1A14">
      <w:r>
        <w:t>Tento bod se netýká této stavby.</w:t>
      </w:r>
    </w:p>
    <w:p w:rsidR="0002142A" w:rsidRDefault="00BE1A14" w:rsidP="00BE1A14">
      <w:pPr>
        <w:pStyle w:val="Nadpis2"/>
        <w:numPr>
          <w:ilvl w:val="0"/>
          <w:numId w:val="0"/>
        </w:numPr>
      </w:pPr>
      <w:bookmarkStart w:id="9" w:name="_Toc459105727"/>
      <w:r>
        <w:t>i)</w:t>
      </w:r>
      <w:r w:rsidR="004F1744">
        <w:t xml:space="preserve"> </w:t>
      </w:r>
      <w:r w:rsidRPr="00BE1A14">
        <w:t>důsledky na životní prostředí a bezpečnost práce</w:t>
      </w:r>
      <w:bookmarkEnd w:id="9"/>
    </w:p>
    <w:p w:rsidR="00BE1A14" w:rsidRPr="00BE1A14" w:rsidRDefault="00BE1A14" w:rsidP="00BE1A14"/>
    <w:p w:rsidR="0002142A" w:rsidRDefault="00BE1A14" w:rsidP="00391C7D">
      <w:pPr>
        <w:ind w:left="284" w:firstLine="283"/>
      </w:pPr>
      <w:r>
        <w:t xml:space="preserve">vliv stavby na životní prostředí a řešení jeho ochrany - ovlivnění životního prostředí </w:t>
      </w:r>
      <w:r w:rsidR="003A4BB6">
        <w:t>bude možné</w:t>
      </w:r>
      <w:r>
        <w:t xml:space="preserve"> především při vlastní realizaci stavby. Jinak tato stavba bude mít pozitivní účinky z hlediska péče o životní prostředí, neboť umožní </w:t>
      </w:r>
      <w:r w:rsidR="0075330B">
        <w:t xml:space="preserve">rozšiřování vlastní </w:t>
      </w:r>
      <w:r w:rsidR="003A4BB6">
        <w:t xml:space="preserve">Městyse Divišov. </w:t>
      </w:r>
    </w:p>
    <w:p w:rsidR="006A24E3" w:rsidRPr="006A24E3" w:rsidRDefault="006A24E3" w:rsidP="006A24E3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10" w:name="_Toc459105728"/>
      <w:r w:rsidRPr="006A24E3">
        <w:rPr>
          <w:sz w:val="24"/>
          <w:szCs w:val="24"/>
        </w:rPr>
        <w:t>2.2. Výkresová část</w:t>
      </w:r>
      <w:bookmarkEnd w:id="10"/>
      <w:r w:rsidRPr="006A24E3">
        <w:rPr>
          <w:sz w:val="24"/>
          <w:szCs w:val="24"/>
        </w:rPr>
        <w:t xml:space="preserve"> </w:t>
      </w:r>
    </w:p>
    <w:p w:rsidR="0002142A" w:rsidRDefault="0002142A"/>
    <w:p w:rsidR="001178F5" w:rsidRDefault="006A24E3">
      <w:r>
        <w:t>Viz výkresy</w:t>
      </w:r>
    </w:p>
    <w:p w:rsidR="001178F5" w:rsidRDefault="001178F5" w:rsidP="001178F5">
      <w:pPr>
        <w:pStyle w:val="Nadpis2"/>
        <w:numPr>
          <w:ilvl w:val="0"/>
          <w:numId w:val="0"/>
        </w:numPr>
      </w:pPr>
      <w:bookmarkStart w:id="11" w:name="_Toc459105729"/>
      <w:r>
        <w:t>f) podklady pro vytýčení</w:t>
      </w:r>
      <w:bookmarkEnd w:id="11"/>
    </w:p>
    <w:p w:rsidR="00895D98" w:rsidRPr="00895D98" w:rsidRDefault="00895D98" w:rsidP="00895D98"/>
    <w:p w:rsidR="001178F5" w:rsidRPr="001178F5" w:rsidRDefault="00901050" w:rsidP="003A4BB6">
      <w:pPr>
        <w:pStyle w:val="Zkladntextodsazen3"/>
        <w:spacing w:after="0"/>
        <w:ind w:left="284" w:firstLine="283"/>
      </w:pPr>
      <w:r>
        <w:rPr>
          <w:sz w:val="24"/>
          <w:szCs w:val="24"/>
        </w:rPr>
        <w:t>P</w:t>
      </w:r>
      <w:r w:rsidR="001178F5" w:rsidRPr="00DD63E6">
        <w:rPr>
          <w:sz w:val="24"/>
          <w:szCs w:val="24"/>
        </w:rPr>
        <w:t xml:space="preserve">ro vydání stavebního povolení </w:t>
      </w:r>
      <w:r w:rsidR="0075330B">
        <w:rPr>
          <w:sz w:val="24"/>
          <w:szCs w:val="24"/>
        </w:rPr>
        <w:t>j</w:t>
      </w:r>
      <w:r w:rsidR="001178F5" w:rsidRPr="00DD63E6">
        <w:rPr>
          <w:sz w:val="24"/>
          <w:szCs w:val="24"/>
        </w:rPr>
        <w:t xml:space="preserve">e zájmové území zaměřeno </w:t>
      </w:r>
      <w:r w:rsidR="00895D98" w:rsidRPr="00DD63E6">
        <w:rPr>
          <w:sz w:val="24"/>
          <w:szCs w:val="24"/>
        </w:rPr>
        <w:t>ve výškovém systému  Bpv, souřadnicový systém S-JTSK.</w:t>
      </w:r>
    </w:p>
    <w:p w:rsidR="006A24E3" w:rsidRPr="006A24E3" w:rsidRDefault="006A24E3" w:rsidP="006A24E3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12" w:name="_Toc459105730"/>
      <w:r w:rsidRPr="006A24E3">
        <w:rPr>
          <w:sz w:val="24"/>
          <w:szCs w:val="24"/>
        </w:rPr>
        <w:t>2.3. Statické výpočty a výkresy:</w:t>
      </w:r>
      <w:bookmarkEnd w:id="12"/>
    </w:p>
    <w:p w:rsidR="0002142A" w:rsidRDefault="0002142A"/>
    <w:p w:rsidR="0002142A" w:rsidRDefault="00A96331">
      <w:r>
        <w:t>Tato stavba</w:t>
      </w:r>
      <w:r w:rsidR="006A24E3">
        <w:t xml:space="preserve"> </w:t>
      </w:r>
      <w:r w:rsidR="00576180">
        <w:t>nov</w:t>
      </w:r>
      <w:r w:rsidR="000C3020">
        <w:t xml:space="preserve">ých </w:t>
      </w:r>
      <w:r w:rsidR="0075330B">
        <w:t xml:space="preserve">vodovodních a </w:t>
      </w:r>
      <w:r w:rsidR="000C3020">
        <w:t>kanalizačních stok</w:t>
      </w:r>
      <w:r>
        <w:t xml:space="preserve"> se</w:t>
      </w:r>
      <w:r w:rsidR="006A24E3">
        <w:t xml:space="preserve"> </w:t>
      </w:r>
      <w:r w:rsidR="00576180">
        <w:t xml:space="preserve">tohoto oddílu </w:t>
      </w:r>
      <w:r w:rsidR="006A24E3">
        <w:t>netýká</w:t>
      </w:r>
      <w:r w:rsidR="00576180">
        <w:t>.</w:t>
      </w:r>
    </w:p>
    <w:p w:rsidR="00D13C3E" w:rsidRDefault="00D13C3E" w:rsidP="00D13C3E">
      <w:pPr>
        <w:pStyle w:val="Nadpis2"/>
      </w:pPr>
      <w:bookmarkStart w:id="13" w:name="_Toc328391950"/>
      <w:bookmarkStart w:id="14" w:name="_Toc459105731"/>
      <w:r>
        <w:t>Návrh trasy:</w:t>
      </w:r>
      <w:bookmarkEnd w:id="13"/>
      <w:bookmarkEnd w:id="14"/>
    </w:p>
    <w:p w:rsidR="00152C3E" w:rsidRDefault="00152C3E" w:rsidP="00152C3E"/>
    <w:p w:rsidR="00901050" w:rsidRDefault="00934A84" w:rsidP="00D13C3E">
      <w:pPr>
        <w:pStyle w:val="Zkladntextodsazen"/>
        <w:rPr>
          <w:rFonts w:cs="Arial"/>
          <w:szCs w:val="24"/>
        </w:rPr>
      </w:pPr>
      <w:r>
        <w:rPr>
          <w:rFonts w:cs="Arial"/>
          <w:szCs w:val="24"/>
        </w:rPr>
        <w:t xml:space="preserve">Trasy jsou navrženy na základě </w:t>
      </w:r>
      <w:r w:rsidR="00901050">
        <w:rPr>
          <w:rFonts w:cs="Arial"/>
          <w:szCs w:val="24"/>
        </w:rPr>
        <w:t xml:space="preserve">vlastních potřeb investora a technicky možného nejvýhodnějšího </w:t>
      </w:r>
      <w:r w:rsidR="002E7A42">
        <w:rPr>
          <w:rFonts w:cs="Arial"/>
          <w:szCs w:val="24"/>
        </w:rPr>
        <w:t xml:space="preserve">řešení, </w:t>
      </w:r>
      <w:r w:rsidR="00706220">
        <w:rPr>
          <w:rFonts w:cs="Arial"/>
          <w:szCs w:val="24"/>
        </w:rPr>
        <w:t xml:space="preserve">včetně </w:t>
      </w:r>
      <w:r w:rsidR="007F4BF6">
        <w:rPr>
          <w:rFonts w:cs="Arial"/>
          <w:szCs w:val="24"/>
        </w:rPr>
        <w:t xml:space="preserve">finančního </w:t>
      </w:r>
      <w:r w:rsidR="00706220">
        <w:rPr>
          <w:rFonts w:cs="Arial"/>
          <w:szCs w:val="24"/>
        </w:rPr>
        <w:t xml:space="preserve">a </w:t>
      </w:r>
      <w:r w:rsidR="002E7A42">
        <w:rPr>
          <w:rFonts w:cs="Arial"/>
          <w:szCs w:val="24"/>
        </w:rPr>
        <w:t xml:space="preserve">současně </w:t>
      </w:r>
      <w:r w:rsidR="00706220">
        <w:rPr>
          <w:rFonts w:cs="Arial"/>
          <w:szCs w:val="24"/>
        </w:rPr>
        <w:t xml:space="preserve">provozního </w:t>
      </w:r>
      <w:r w:rsidR="00901050">
        <w:rPr>
          <w:rFonts w:cs="Arial"/>
          <w:szCs w:val="24"/>
        </w:rPr>
        <w:t>řešení</w:t>
      </w:r>
      <w:r w:rsidR="007F4BF6">
        <w:rPr>
          <w:rFonts w:cs="Arial"/>
          <w:szCs w:val="24"/>
        </w:rPr>
        <w:t>.</w:t>
      </w:r>
      <w:r w:rsidR="00901050">
        <w:rPr>
          <w:rFonts w:cs="Arial"/>
          <w:szCs w:val="24"/>
        </w:rPr>
        <w:t xml:space="preserve"> </w:t>
      </w:r>
      <w:r w:rsidR="002E7A42">
        <w:rPr>
          <w:rFonts w:cs="Arial"/>
          <w:szCs w:val="24"/>
        </w:rPr>
        <w:t>Odpadne vyvážení žumpy u objektu ploché dráhy.</w:t>
      </w:r>
    </w:p>
    <w:p w:rsidR="00097652" w:rsidRDefault="00097652" w:rsidP="00D13C3E">
      <w:pPr>
        <w:pStyle w:val="Zkladntextodsazen"/>
        <w:rPr>
          <w:rFonts w:cs="Arial"/>
          <w:szCs w:val="24"/>
        </w:rPr>
      </w:pPr>
    </w:p>
    <w:p w:rsidR="00097652" w:rsidRPr="00097652" w:rsidRDefault="00097652" w:rsidP="00D13C3E">
      <w:pPr>
        <w:pStyle w:val="Nadpis1"/>
        <w:ind w:left="284" w:hanging="284"/>
        <w:rPr>
          <w:rFonts w:cs="Arial"/>
          <w:szCs w:val="24"/>
        </w:rPr>
      </w:pPr>
      <w:bookmarkStart w:id="15" w:name="_Toc444693938"/>
      <w:bookmarkStart w:id="16" w:name="_Toc459105732"/>
      <w:r w:rsidRPr="00D84359">
        <w:t xml:space="preserve">Montáž </w:t>
      </w:r>
      <w:r>
        <w:t>vodovodu</w:t>
      </w:r>
      <w:bookmarkEnd w:id="15"/>
      <w:bookmarkEnd w:id="16"/>
    </w:p>
    <w:p w:rsidR="0081614B" w:rsidRDefault="0081614B" w:rsidP="0081614B">
      <w:pPr>
        <w:pStyle w:val="Nadpis2"/>
      </w:pPr>
      <w:bookmarkStart w:id="17" w:name="_Toc527967511"/>
      <w:bookmarkStart w:id="18" w:name="_Toc535563101"/>
      <w:bookmarkStart w:id="19" w:name="_Toc256598640"/>
      <w:bookmarkStart w:id="20" w:name="_Toc262049661"/>
      <w:bookmarkStart w:id="21" w:name="_Toc331594181"/>
      <w:bookmarkStart w:id="22" w:name="_Toc340150141"/>
      <w:bookmarkStart w:id="23" w:name="_Toc341083896"/>
      <w:bookmarkStart w:id="24" w:name="_Toc411329089"/>
      <w:bookmarkStart w:id="25" w:name="_Toc459105733"/>
      <w:r>
        <w:t>Montáž vodovodních řadů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1614B" w:rsidRDefault="0081614B" w:rsidP="0081614B"/>
    <w:p w:rsidR="005D14F9" w:rsidRDefault="0081614B" w:rsidP="0081614B">
      <w:r>
        <w:t xml:space="preserve">Na pozemku </w:t>
      </w:r>
      <w:r w:rsidR="00097652">
        <w:t xml:space="preserve">SÚS </w:t>
      </w:r>
      <w:r>
        <w:t xml:space="preserve">č.prac. </w:t>
      </w:r>
      <w:r w:rsidR="00097652">
        <w:t>1379/8</w:t>
      </w:r>
      <w:r>
        <w:t xml:space="preserve"> je uloženo stávající vodovodní </w:t>
      </w:r>
      <w:r w:rsidR="00097652">
        <w:t xml:space="preserve">litinové potrubí DN 100, které je ukončeno podzemním hydrantem, který bude nahrazen novým. </w:t>
      </w:r>
      <w:r>
        <w:t xml:space="preserve"> Zde se provede </w:t>
      </w:r>
      <w:r w:rsidR="003F138C">
        <w:t>demontáž</w:t>
      </w:r>
      <w:r w:rsidR="00097652">
        <w:t xml:space="preserve"> </w:t>
      </w:r>
      <w:r>
        <w:t xml:space="preserve"> </w:t>
      </w:r>
      <w:r w:rsidR="003F138C">
        <w:t xml:space="preserve">hydrantu </w:t>
      </w:r>
      <w:r>
        <w:t xml:space="preserve"> a osadí se litinová tvarovka T kus DN 100/</w:t>
      </w:r>
      <w:r w:rsidR="00097652">
        <w:t>10</w:t>
      </w:r>
      <w:r>
        <w:t xml:space="preserve">0 mm, s vodárenským šoupětem DN </w:t>
      </w:r>
      <w:r w:rsidR="00097652">
        <w:t>10</w:t>
      </w:r>
      <w:r>
        <w:t>0 mm</w:t>
      </w:r>
      <w:r w:rsidR="00097652">
        <w:t xml:space="preserve"> a s podzemním hydrante</w:t>
      </w:r>
      <w:r w:rsidR="003F138C">
        <w:t>m</w:t>
      </w:r>
      <w:r>
        <w:t xml:space="preserve">. </w:t>
      </w:r>
      <w:r w:rsidR="003F138C">
        <w:t xml:space="preserve">Pod silnicí č.111 se provede protlak, osadí se chránička buď ocelová DN 250 </w:t>
      </w:r>
      <w:r w:rsidR="00EE0A99">
        <w:t>mm nebo z polyetylenu</w:t>
      </w:r>
      <w:r w:rsidR="003F138C">
        <w:t xml:space="preserve"> </w:t>
      </w:r>
      <w:r w:rsidR="00EE0A99">
        <w:t>SDR 11 315/28,6 mm</w:t>
      </w:r>
      <w:r w:rsidR="003F138C">
        <w:t xml:space="preserve">. </w:t>
      </w:r>
      <w:r>
        <w:t xml:space="preserve">Dále </w:t>
      </w:r>
      <w:r w:rsidR="003F138C">
        <w:t xml:space="preserve">řad </w:t>
      </w:r>
      <w:r>
        <w:t>bude pokračovat z</w:t>
      </w:r>
      <w:r w:rsidR="003F138C">
        <w:t> </w:t>
      </w:r>
      <w:r>
        <w:t>polyetylen</w:t>
      </w:r>
      <w:r w:rsidR="003F138C">
        <w:t>ového potrubí</w:t>
      </w:r>
      <w:r>
        <w:t xml:space="preserve"> průměr </w:t>
      </w:r>
      <w:r w:rsidR="003F138C">
        <w:t>11</w:t>
      </w:r>
      <w:r>
        <w:t>0 mm.</w:t>
      </w:r>
    </w:p>
    <w:p w:rsidR="0081614B" w:rsidRDefault="0081614B" w:rsidP="0081614B">
      <w:r>
        <w:t xml:space="preserve">Na druhém konci prodlužovaného vodovodního řadu, který je také z polyetylenového potrubí </w:t>
      </w:r>
      <w:r w:rsidR="00EE0A99">
        <w:t>10</w:t>
      </w:r>
      <w:r>
        <w:t>0 mm, je osazen podzemní hydrant DN 80 mm s jistícím šoupětem, tento podzemní hydrant slouží pouze jako provozní, nikoliv jako požární</w:t>
      </w:r>
      <w:r w:rsidR="005D14F9">
        <w:t xml:space="preserve"> - viz kladečský plán,výkres č.7</w:t>
      </w:r>
    </w:p>
    <w:p w:rsidR="005D14F9" w:rsidRPr="00ED0BA2" w:rsidRDefault="005D14F9" w:rsidP="0081614B">
      <w:r>
        <w:lastRenderedPageBreak/>
        <w:t>V tomto místě se opět provede protlak pod silnicí č.111, včetně osazení chráničky. Ukončení nového vodovodního řadu bude propojení ze stávajícím vodovodním řadem, který je z LPE průměr 110 mm. Zde se osadí 2 x vodárenská šoupata DN 100 mm, jak na novém řadu tak i na stávajícím.</w:t>
      </w:r>
    </w:p>
    <w:p w:rsidR="0081614B" w:rsidRDefault="0081614B" w:rsidP="0081614B">
      <w:pPr>
        <w:pStyle w:val="Zkladntextodsazen"/>
      </w:pPr>
      <w:r>
        <w:t xml:space="preserve">Montáž vodovodních řadů z LPe se musí provádět se zvýšenou opatrností - hlavně dbát důraz, aby bylo urovnáno dno rýhy,  na podsyp  potrubí min.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a obsyp min. </w:t>
      </w:r>
      <w:smartTag w:uri="urn:schemas-microsoft-com:office:smarttags" w:element="metricconverter">
        <w:smartTagPr>
          <w:attr w:name="ProductID" w:val="200 mm"/>
        </w:smartTagPr>
        <w:r>
          <w:t>200 mm</w:t>
        </w:r>
      </w:smartTag>
      <w:r>
        <w:t xml:space="preserve">  pískem  nebo prohozenou zeminou - podle složení výkopu. </w:t>
      </w:r>
    </w:p>
    <w:p w:rsidR="0081614B" w:rsidRDefault="0081614B" w:rsidP="0081614B">
      <w:pPr>
        <w:pStyle w:val="Zkladntextodsazen"/>
      </w:pPr>
      <w:r>
        <w:t>Roury se ukládají tak, aby ležely v celé délce zplna v podsypu, je zakázáno roury podkládat pevnými předměty např. cihly nebo hranoly. Dále je nutno dodržet navržené hloubky z podélných profilů, aby nedocházelo k zavzdušnění řadů.</w:t>
      </w:r>
    </w:p>
    <w:p w:rsidR="0081614B" w:rsidRDefault="0081614B" w:rsidP="0081614B">
      <w:pPr>
        <w:pStyle w:val="Zkladntextodsazen"/>
      </w:pPr>
      <w:r>
        <w:t xml:space="preserve">Budou použity tvarovky s cementovou vystélkou. </w:t>
      </w:r>
    </w:p>
    <w:p w:rsidR="0081614B" w:rsidRDefault="0081614B" w:rsidP="0081614B">
      <w:pPr>
        <w:pStyle w:val="Zkladntextodsazen"/>
      </w:pPr>
      <w:r>
        <w:t xml:space="preserve">S montáží se bude připokládat vytyčovací vodič za účelem vytýčení vodovodního potrubí ve volném terénu.  </w:t>
      </w:r>
    </w:p>
    <w:p w:rsidR="00FC1510" w:rsidRDefault="00FC1510" w:rsidP="0081614B">
      <w:pPr>
        <w:pStyle w:val="Zkladntextodsazen"/>
      </w:pPr>
      <w:r>
        <w:t>Vodovodní řad je v souběhu s novou kanalizační stokou v délce 97 m</w:t>
      </w:r>
      <w:r w:rsidR="003751DB">
        <w:t>-viz podrobná situace.</w:t>
      </w:r>
    </w:p>
    <w:p w:rsidR="0081614B" w:rsidRDefault="0081614B" w:rsidP="0081614B">
      <w:pPr>
        <w:pStyle w:val="Nadpis2"/>
      </w:pPr>
      <w:bookmarkStart w:id="26" w:name="_Toc527967512"/>
      <w:bookmarkStart w:id="27" w:name="_Toc535563102"/>
      <w:bookmarkStart w:id="28" w:name="_Toc256598641"/>
      <w:bookmarkStart w:id="29" w:name="_Toc262049662"/>
      <w:bookmarkStart w:id="30" w:name="_Toc331594182"/>
      <w:bookmarkStart w:id="31" w:name="_Toc340150142"/>
      <w:bookmarkStart w:id="32" w:name="_Toc341083897"/>
      <w:bookmarkStart w:id="33" w:name="_Toc411329090"/>
      <w:bookmarkStart w:id="34" w:name="_Toc459105734"/>
      <w:r>
        <w:t>Spojování potrubí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1614B" w:rsidRDefault="0081614B" w:rsidP="0081614B">
      <w:pPr>
        <w:pStyle w:val="Zkladntextodsazen"/>
      </w:pPr>
      <w:r>
        <w:t xml:space="preserve">Armatury a tvarovky se spojují jednotlivě v rýze. Těsnicí </w:t>
      </w:r>
      <w:r w:rsidR="005D14F9">
        <w:t>plochy litinových</w:t>
      </w:r>
      <w:r>
        <w:t xml:space="preserve"> přírub a přírubových spojů je třeba před montáží řádně očistit.      </w:t>
      </w:r>
    </w:p>
    <w:p w:rsidR="0081614B" w:rsidRDefault="0081614B" w:rsidP="0081614B">
      <w:pPr>
        <w:ind w:left="284" w:firstLine="283"/>
      </w:pPr>
      <w:r>
        <w:t xml:space="preserve">Vlastní montáž se nesmí provádět za nižších teplot max. do </w:t>
      </w:r>
      <w:smartTag w:uri="urn:schemas-microsoft-com:office:smarttags" w:element="metricconverter">
        <w:smartTagPr>
          <w:attr w:name="ProductID" w:val="00 C"/>
        </w:smartTagPr>
        <w:r>
          <w:t>0</w:t>
        </w:r>
        <w:r>
          <w:rPr>
            <w:vertAlign w:val="superscript"/>
          </w:rPr>
          <w:t>0</w:t>
        </w:r>
        <w:r>
          <w:t xml:space="preserve"> C</w:t>
        </w:r>
      </w:smartTag>
      <w:r>
        <w:t xml:space="preserve"> dle ON 73 6632.</w:t>
      </w:r>
    </w:p>
    <w:p w:rsidR="0081614B" w:rsidRDefault="0081614B" w:rsidP="0081614B">
      <w:pPr>
        <w:pStyle w:val="Zkladntextodsazen"/>
      </w:pPr>
      <w:r>
        <w:t xml:space="preserve"> Před tlakovou zkouškou se provede obsyp potrubí tak, aby veškeré spoje jak hrdlové tak přírubové byly viditelné.  Zároveň se provedou opěrné betonové bloky a to na odbočkách - T kusy, u patkových kolen a u oblouků.</w:t>
      </w:r>
    </w:p>
    <w:p w:rsidR="0081614B" w:rsidRDefault="0081614B" w:rsidP="0081614B">
      <w:pPr>
        <w:pStyle w:val="Nadpis2"/>
      </w:pPr>
      <w:bookmarkStart w:id="35" w:name="_Toc527967513"/>
      <w:bookmarkStart w:id="36" w:name="_Toc535563103"/>
      <w:bookmarkStart w:id="37" w:name="_Toc256598642"/>
      <w:bookmarkStart w:id="38" w:name="_Toc262049663"/>
      <w:bookmarkStart w:id="39" w:name="_Toc331594183"/>
      <w:bookmarkStart w:id="40" w:name="_Toc340150143"/>
      <w:bookmarkStart w:id="41" w:name="_Toc341083898"/>
      <w:bookmarkStart w:id="42" w:name="_Toc411329091"/>
      <w:bookmarkStart w:id="43" w:name="_Toc459105735"/>
      <w:r>
        <w:t>Tlaková zkouška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t xml:space="preserve"> </w:t>
      </w:r>
    </w:p>
    <w:p w:rsidR="0081614B" w:rsidRDefault="0081614B" w:rsidP="0081614B">
      <w:pPr>
        <w:pStyle w:val="Zkladntextodsazen"/>
      </w:pPr>
      <w:r>
        <w:t xml:space="preserve">Každé tlakové vodovodní potrubí se musí odzkoušet dle ČSN 75 </w:t>
      </w:r>
      <w:smartTag w:uri="urn:schemas-microsoft-com:office:smarttags" w:element="metricconverter">
        <w:smartTagPr>
          <w:attr w:name="ProductID" w:val="5911 a"/>
        </w:smartTagPr>
        <w:r>
          <w:t>5911 a</w:t>
        </w:r>
      </w:smartTag>
      <w:r>
        <w:t xml:space="preserve"> provede se o této zkoušce zápis, zda potrubí vyhovuje. Pak je možno </w:t>
      </w:r>
      <w:r w:rsidR="005D14F9">
        <w:t>dosypat vynechaná</w:t>
      </w:r>
      <w:r>
        <w:t xml:space="preserve"> místa pískem.  </w:t>
      </w:r>
    </w:p>
    <w:p w:rsidR="0081614B" w:rsidRDefault="0081614B" w:rsidP="0081614B">
      <w:pPr>
        <w:pStyle w:val="Nadpis2"/>
      </w:pPr>
      <w:bookmarkStart w:id="44" w:name="_Toc527967514"/>
      <w:bookmarkStart w:id="45" w:name="_Toc535563104"/>
      <w:bookmarkStart w:id="46" w:name="_Toc256598643"/>
      <w:bookmarkStart w:id="47" w:name="_Toc262049664"/>
      <w:bookmarkStart w:id="48" w:name="_Toc331594184"/>
      <w:bookmarkStart w:id="49" w:name="_Toc340150144"/>
      <w:bookmarkStart w:id="50" w:name="_Toc341083899"/>
      <w:bookmarkStart w:id="51" w:name="_Toc411329092"/>
      <w:bookmarkStart w:id="52" w:name="_Toc459105736"/>
      <w:r>
        <w:t>Označení armatur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1614B" w:rsidRDefault="0081614B" w:rsidP="0081614B">
      <w:pPr>
        <w:pStyle w:val="Zkladntextodsazen"/>
      </w:pPr>
      <w:r>
        <w:t xml:space="preserve">Vodárenské armatury je nutno označit tak, aby bylo možné vždy určit jejich přesnou polohu a to především v zimním období, kdy leží sníh.  Na označení se používají </w:t>
      </w:r>
      <w:r w:rsidR="005D14F9">
        <w:t>orientační tabulky</w:t>
      </w:r>
      <w:r>
        <w:t xml:space="preserve"> podle ON 75 5025. </w:t>
      </w:r>
    </w:p>
    <w:p w:rsidR="0081614B" w:rsidRDefault="0081614B" w:rsidP="0081614B">
      <w:pPr>
        <w:pStyle w:val="Nadpis2"/>
      </w:pPr>
      <w:bookmarkStart w:id="53" w:name="_Toc527967515"/>
      <w:bookmarkStart w:id="54" w:name="_Toc535563105"/>
      <w:bookmarkStart w:id="55" w:name="_Toc256598644"/>
      <w:bookmarkStart w:id="56" w:name="_Toc262049665"/>
      <w:bookmarkStart w:id="57" w:name="_Toc331594185"/>
      <w:bookmarkStart w:id="58" w:name="_Toc340150145"/>
      <w:bookmarkStart w:id="59" w:name="_Toc341083900"/>
      <w:bookmarkStart w:id="60" w:name="_Toc411329093"/>
      <w:bookmarkStart w:id="61" w:name="_Toc459105737"/>
      <w:r>
        <w:t>Úpravy povrchu zásypu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7A1C62" w:rsidRDefault="0081614B" w:rsidP="00D13C3E">
      <w:pPr>
        <w:pStyle w:val="Zkladntextodsazen"/>
        <w:rPr>
          <w:rFonts w:cs="Arial"/>
          <w:szCs w:val="24"/>
        </w:rPr>
      </w:pPr>
      <w:r>
        <w:t xml:space="preserve">Po provedené vyhovující tlakové zkoušce se začne provádět hutněný zásyp rýhy. Minimální první vrstva nad potrubím musí být alespoň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. Dále se hutní po vrstvách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.  Usazení poklopů vodárenských armatur se musí spolehlivě osadit do výšky upraveného terénu. Nutno počítat, že výkop  se bude dodatečně slehávat, poklopy armatur osadit min.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nad zemní soupravy. Veškerý terén se uvede do původního stavu!!!!!</w:t>
      </w:r>
    </w:p>
    <w:p w:rsidR="007A1C62" w:rsidRDefault="007A1C62" w:rsidP="00D13C3E">
      <w:pPr>
        <w:pStyle w:val="Zkladntextodsazen"/>
        <w:rPr>
          <w:rFonts w:cs="Arial"/>
          <w:szCs w:val="24"/>
        </w:rPr>
      </w:pPr>
    </w:p>
    <w:p w:rsidR="003D6951" w:rsidRPr="00D84359" w:rsidRDefault="003D6951" w:rsidP="003D6951">
      <w:pPr>
        <w:pStyle w:val="Nadpis1"/>
      </w:pPr>
      <w:bookmarkStart w:id="62" w:name="_Toc444693941"/>
      <w:bookmarkStart w:id="63" w:name="_Toc459105738"/>
      <w:r w:rsidRPr="00D84359">
        <w:lastRenderedPageBreak/>
        <w:t>Montáž kanalizace</w:t>
      </w:r>
      <w:bookmarkEnd w:id="62"/>
      <w:bookmarkEnd w:id="63"/>
    </w:p>
    <w:p w:rsidR="003D6951" w:rsidRDefault="003D6951" w:rsidP="003D6951">
      <w:pPr>
        <w:pStyle w:val="Nadpis2"/>
      </w:pPr>
      <w:bookmarkStart w:id="64" w:name="_Toc23258332"/>
      <w:bookmarkStart w:id="65" w:name="_Toc96386888"/>
      <w:bookmarkStart w:id="66" w:name="_Toc114834100"/>
      <w:bookmarkStart w:id="67" w:name="_Toc115331634"/>
      <w:bookmarkStart w:id="68" w:name="_Toc115754130"/>
      <w:bookmarkStart w:id="69" w:name="_Toc120978276"/>
      <w:bookmarkStart w:id="70" w:name="_Toc137977649"/>
      <w:bookmarkStart w:id="71" w:name="_Toc172353528"/>
      <w:bookmarkStart w:id="72" w:name="_Toc210374621"/>
      <w:bookmarkStart w:id="73" w:name="_Toc210699373"/>
      <w:bookmarkStart w:id="74" w:name="_Toc210795153"/>
      <w:bookmarkStart w:id="75" w:name="_Toc342398264"/>
      <w:bookmarkStart w:id="76" w:name="_Toc444693942"/>
      <w:bookmarkStart w:id="77" w:name="_Toc459105739"/>
      <w:r>
        <w:t>Hloubení rýh pro kanalizaci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7604EE" w:rsidRDefault="007604EE" w:rsidP="007604EE"/>
    <w:p w:rsidR="003D6951" w:rsidRPr="005D1FE7" w:rsidRDefault="007604EE" w:rsidP="003D6951">
      <w:r>
        <w:rPr>
          <w:rFonts w:cs="Arial"/>
        </w:rPr>
        <w:t xml:space="preserve">Splašková kanalizace je ukončena nad křižovatkou Divišov-Dalovy, kde je koncová revizní šachta. Tato šachta bude jako výchozí pro pokračování směrem k ploché dráze. </w:t>
      </w:r>
    </w:p>
    <w:p w:rsidR="003D6951" w:rsidRDefault="003D6951" w:rsidP="003D6951">
      <w:pPr>
        <w:ind w:left="284" w:firstLine="283"/>
      </w:pPr>
      <w:r>
        <w:t xml:space="preserve">Stavební rýha </w:t>
      </w:r>
      <w:r w:rsidR="007604EE">
        <w:t>musí být</w:t>
      </w:r>
      <w:r>
        <w:t xml:space="preserve"> provedena tak, že je dodržen výkres č.5–podélný </w:t>
      </w:r>
      <w:r w:rsidR="007604EE">
        <w:t>profil</w:t>
      </w:r>
      <w:r>
        <w:t xml:space="preserve"> kanalizační stoky a tím je možné ve výhledu provést odkanalizová</w:t>
      </w:r>
      <w:r w:rsidR="007604EE">
        <w:t xml:space="preserve">ní veškerých přilehlých parcel, dále potrubí je uloženo níže, než je vodovodní řad. </w:t>
      </w:r>
    </w:p>
    <w:p w:rsidR="003D6951" w:rsidRDefault="003D6951" w:rsidP="003D6951">
      <w:pPr>
        <w:pStyle w:val="Nadpis2"/>
        <w:jc w:val="both"/>
      </w:pPr>
      <w:bookmarkStart w:id="78" w:name="_Toc342398265"/>
      <w:bookmarkStart w:id="79" w:name="_Toc444693943"/>
      <w:bookmarkStart w:id="80" w:name="_Toc459105740"/>
      <w:r>
        <w:t>Montáž potrubí PVC</w:t>
      </w:r>
      <w:bookmarkEnd w:id="78"/>
      <w:bookmarkEnd w:id="79"/>
      <w:bookmarkEnd w:id="80"/>
    </w:p>
    <w:p w:rsidR="003D6951" w:rsidRDefault="003D6951" w:rsidP="003D6951">
      <w:pPr>
        <w:pStyle w:val="Zpat"/>
        <w:tabs>
          <w:tab w:val="clear" w:pos="4536"/>
          <w:tab w:val="clear" w:pos="9072"/>
        </w:tabs>
      </w:pPr>
    </w:p>
    <w:p w:rsidR="003D6951" w:rsidRDefault="003D6951" w:rsidP="003D6951">
      <w:pPr>
        <w:pStyle w:val="Zkladntextodsazen"/>
      </w:pPr>
      <w:r>
        <w:t>Opracování trub PVC je velmi jednoduché a nevyžaduje žádné speciální nástroje. Na stavbě je možno obyčejnou jemnozubou pilkou upravit délku trouby nebo zhotovit otvor pro osazení odbočky.</w:t>
      </w:r>
    </w:p>
    <w:p w:rsidR="003D6951" w:rsidRDefault="003D6951" w:rsidP="004A69EB">
      <w:pPr>
        <w:pStyle w:val="Zkladntextodsazen"/>
      </w:pPr>
      <w:r>
        <w:t xml:space="preserve">Trouby systému Polycor mohou být spojeny přesuvkou a těsněním nebo hrdlem a těsněním. </w:t>
      </w:r>
    </w:p>
    <w:p w:rsidR="003D6951" w:rsidRDefault="003D6951" w:rsidP="003D6951">
      <w:pPr>
        <w:pStyle w:val="Zkladntextodsazen"/>
      </w:pPr>
      <w:r>
        <w:t>Tvarovky jsou vyráběné za stejného materiálu jako trouby. Těsnění tvarovek je zabezpečené posuvnými těsnícími kroužky, jejichž materiál odpovídá DIN 4060. Vnější povrch je korugovaný, přičemž vnitřní povrch je hladký.</w:t>
      </w:r>
    </w:p>
    <w:p w:rsidR="003D6951" w:rsidRDefault="003D6951" w:rsidP="003D6951">
      <w:pPr>
        <w:ind w:left="284" w:firstLine="283"/>
      </w:pPr>
      <w:r>
        <w:t>Tvarovky jsou vyrobené podle norem CEN a jsou takto i kontrolované. Stanovující geometrický prvek je vnitřní průměr, který musí být shodný s vnějším průměrem trouby.</w:t>
      </w:r>
    </w:p>
    <w:p w:rsidR="003D6951" w:rsidRDefault="003D6951" w:rsidP="003D6951">
      <w:pPr>
        <w:pStyle w:val="Zkladntextodsazen"/>
      </w:pPr>
      <w:r>
        <w:t>Tvarovka musí mít takovou délku, aby se mohla nasunout minimálně 2-3 žebra od konce trouby, tak je zajištěna vodotěsnost.</w:t>
      </w:r>
    </w:p>
    <w:p w:rsidR="003D6951" w:rsidRDefault="003D6951" w:rsidP="003D6951">
      <w:r>
        <w:t xml:space="preserve">Potrubí </w:t>
      </w:r>
      <w:r w:rsidR="00562133">
        <w:t xml:space="preserve">PVC </w:t>
      </w:r>
      <w:r>
        <w:t>KGEM</w:t>
      </w:r>
      <w:r w:rsidR="00562133">
        <w:t>(ECOPAL)</w:t>
      </w:r>
      <w:r>
        <w:t xml:space="preserve"> </w:t>
      </w:r>
      <w:r w:rsidR="00562133">
        <w:t>315</w:t>
      </w:r>
      <w:r>
        <w:t>/</w:t>
      </w:r>
      <w:r w:rsidR="00562133">
        <w:t>273</w:t>
      </w:r>
      <w:r>
        <w:t xml:space="preserve"> mm, SN </w:t>
      </w:r>
      <w:r w:rsidR="00562133">
        <w:t>12</w:t>
      </w:r>
      <w:r>
        <w:t xml:space="preserve"> v délce </w:t>
      </w:r>
      <w:r w:rsidR="00562133">
        <w:t>371</w:t>
      </w:r>
      <w:r>
        <w:t xml:space="preserve"> m.</w:t>
      </w:r>
    </w:p>
    <w:p w:rsidR="003D6951" w:rsidRDefault="003D6951" w:rsidP="003D6951">
      <w:pPr>
        <w:pStyle w:val="Nadpis2"/>
      </w:pPr>
      <w:bookmarkStart w:id="81" w:name="_Toc342398266"/>
      <w:bookmarkStart w:id="82" w:name="_Toc444693944"/>
      <w:bookmarkStart w:id="83" w:name="_Toc459105741"/>
      <w:r>
        <w:t>Montáž potrubí je velmi jednoduchá a provádí se takto:</w:t>
      </w:r>
      <w:bookmarkEnd w:id="81"/>
      <w:bookmarkEnd w:id="82"/>
      <w:bookmarkEnd w:id="83"/>
    </w:p>
    <w:p w:rsidR="003D6951" w:rsidRDefault="003D6951" w:rsidP="003D6951"/>
    <w:p w:rsidR="003D6951" w:rsidRDefault="003D6951" w:rsidP="003D6951">
      <w:pPr>
        <w:numPr>
          <w:ilvl w:val="0"/>
          <w:numId w:val="14"/>
        </w:numPr>
      </w:pPr>
      <w:r>
        <w:t xml:space="preserve">konec trouby, který je opatřen v prvním žlábku korugace pryžovým těsnícím kroužkem, se nasune (po natření kroužků pastou nebo mýdlem, vodou) do přesuvky nadoraz a stáhne se zpět asi 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</w:p>
    <w:p w:rsidR="003D6951" w:rsidRDefault="003D6951" w:rsidP="003D6951">
      <w:pPr>
        <w:numPr>
          <w:ilvl w:val="0"/>
          <w:numId w:val="14"/>
        </w:numPr>
      </w:pPr>
      <w:r>
        <w:t>konec další trouby je stejným způsobem zasunut do druhého hrdla dvojité přesuvky</w:t>
      </w:r>
    </w:p>
    <w:p w:rsidR="003D6951" w:rsidRDefault="003D6951" w:rsidP="003D6951">
      <w:pPr>
        <w:numPr>
          <w:ilvl w:val="0"/>
          <w:numId w:val="14"/>
        </w:numPr>
      </w:pPr>
      <w:r>
        <w:t>obdobně jako u trub je prováděna montáž tvarovek nebo kanalizačních přípojek.</w:t>
      </w:r>
    </w:p>
    <w:p w:rsidR="003D6951" w:rsidRDefault="003D6951" w:rsidP="003D6951"/>
    <w:p w:rsidR="003D6951" w:rsidRDefault="003D6951" w:rsidP="003D6951">
      <w:pPr>
        <w:pStyle w:val="Zkladntextodsazen"/>
      </w:pPr>
      <w:r>
        <w:t>Spojování bez</w:t>
      </w:r>
      <w:r w:rsidR="00562133">
        <w:t xml:space="preserve"> </w:t>
      </w:r>
      <w:r>
        <w:t>hrdlových trub je prováděno pomocí dvojité přesuvky a pryžového těsnícího manžetového kroužku.</w:t>
      </w:r>
    </w:p>
    <w:p w:rsidR="003D6951" w:rsidRDefault="003D6951" w:rsidP="003D6951">
      <w:pPr>
        <w:pStyle w:val="Nadpis2"/>
      </w:pPr>
      <w:bookmarkStart w:id="84" w:name="_Toc23258333"/>
      <w:bookmarkStart w:id="85" w:name="_Toc96386889"/>
      <w:bookmarkStart w:id="86" w:name="_Toc114834101"/>
      <w:bookmarkStart w:id="87" w:name="_Toc115331635"/>
      <w:bookmarkStart w:id="88" w:name="_Toc115754131"/>
      <w:bookmarkStart w:id="89" w:name="_Toc120978277"/>
      <w:bookmarkStart w:id="90" w:name="_Toc137977650"/>
      <w:bookmarkStart w:id="91" w:name="_Toc172353529"/>
      <w:bookmarkStart w:id="92" w:name="_Toc210374622"/>
      <w:bookmarkStart w:id="93" w:name="_Toc210699378"/>
      <w:bookmarkStart w:id="94" w:name="_Toc210795158"/>
      <w:bookmarkStart w:id="95" w:name="_Toc342398269"/>
      <w:bookmarkStart w:id="96" w:name="_Toc444693945"/>
      <w:bookmarkStart w:id="97" w:name="_Toc459105742"/>
      <w:r>
        <w:t>Pokládka potrubí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3D6951" w:rsidRDefault="003D6951" w:rsidP="003D6951">
      <w:pPr>
        <w:rPr>
          <w:b/>
          <w:bCs/>
        </w:rPr>
      </w:pPr>
    </w:p>
    <w:p w:rsidR="003D6951" w:rsidRDefault="003D6951" w:rsidP="003D6951">
      <w:pPr>
        <w:ind w:left="284" w:firstLine="283"/>
      </w:pPr>
      <w:r>
        <w:t xml:space="preserve">Potrubí se ukládá do pískového lože výšky min.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v žlábku o středovém úhlu min. 90</w:t>
      </w:r>
      <w:r>
        <w:rPr>
          <w:vertAlign w:val="superscript"/>
        </w:rPr>
        <w:t>0</w:t>
      </w:r>
      <w:r>
        <w:t>.</w:t>
      </w:r>
    </w:p>
    <w:p w:rsidR="003D6951" w:rsidRDefault="003D6951" w:rsidP="003D6951">
      <w:pPr>
        <w:pStyle w:val="Nadpis2"/>
      </w:pPr>
      <w:bookmarkStart w:id="98" w:name="_Toc441977925"/>
      <w:bookmarkStart w:id="99" w:name="_Toc126379474"/>
      <w:bookmarkStart w:id="100" w:name="_Toc136676306"/>
      <w:bookmarkStart w:id="101" w:name="_Toc144345144"/>
      <w:bookmarkStart w:id="102" w:name="_Toc170199824"/>
      <w:bookmarkStart w:id="103" w:name="_Toc172353534"/>
      <w:bookmarkStart w:id="104" w:name="_Toc210374627"/>
      <w:bookmarkStart w:id="105" w:name="_Toc210699379"/>
      <w:bookmarkStart w:id="106" w:name="_Toc210795159"/>
      <w:bookmarkStart w:id="107" w:name="_Toc342398270"/>
      <w:bookmarkStart w:id="108" w:name="_Toc444693946"/>
      <w:bookmarkStart w:id="109" w:name="_Toc459105743"/>
      <w:r>
        <w:lastRenderedPageBreak/>
        <w:t>Přípravné práce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t xml:space="preserve"> </w:t>
      </w:r>
    </w:p>
    <w:p w:rsidR="003D6951" w:rsidRDefault="003D6951" w:rsidP="003D6951"/>
    <w:p w:rsidR="003D6951" w:rsidRDefault="003D6951" w:rsidP="003D6951">
      <w:pPr>
        <w:pStyle w:val="Zkladntextodsazen"/>
      </w:pPr>
      <w:r>
        <w:t xml:space="preserve">Dno rýhy se musí upravit na předepsanou niveletu, dle podélných profilů a provede se vlastní urovnání dna pod potrubí včetně podsypu kamenným prachem. Obsyp potrubí bude proveden buď prohozenou zeminou a nebo také kamenným prachem. </w:t>
      </w:r>
    </w:p>
    <w:p w:rsidR="003D6951" w:rsidRDefault="003D6951" w:rsidP="003D6951">
      <w:pPr>
        <w:pStyle w:val="Nadpis2"/>
      </w:pPr>
      <w:bookmarkStart w:id="110" w:name="_Toc23258334"/>
      <w:bookmarkStart w:id="111" w:name="_Toc96386890"/>
      <w:bookmarkStart w:id="112" w:name="_Toc114834102"/>
      <w:bookmarkStart w:id="113" w:name="_Toc115331636"/>
      <w:bookmarkStart w:id="114" w:name="_Toc115754132"/>
      <w:bookmarkStart w:id="115" w:name="_Toc120978278"/>
      <w:bookmarkStart w:id="116" w:name="_Toc137977651"/>
      <w:bookmarkStart w:id="117" w:name="_Toc172353530"/>
      <w:bookmarkStart w:id="118" w:name="_Toc210374623"/>
      <w:bookmarkStart w:id="119" w:name="_Toc210699380"/>
      <w:bookmarkStart w:id="120" w:name="_Toc210795160"/>
      <w:bookmarkStart w:id="121" w:name="_Toc342398271"/>
      <w:bookmarkStart w:id="122" w:name="_Toc444693947"/>
      <w:bookmarkStart w:id="123" w:name="_Toc459105744"/>
      <w:r>
        <w:t>Obsyp a hutnění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3D6951" w:rsidRDefault="003D6951" w:rsidP="003D6951">
      <w:pPr>
        <w:rPr>
          <w:b/>
          <w:bCs/>
        </w:rPr>
      </w:pPr>
    </w:p>
    <w:p w:rsidR="003D6951" w:rsidRDefault="003D6951" w:rsidP="003D6951">
      <w:pPr>
        <w:pStyle w:val="Zkladntextodsazen"/>
      </w:pPr>
      <w:r>
        <w:t>Obsyp potrubí je proveden pískem nebo písčitou zrninou s kamenivem zrnitosti do 10mm. Provádí se po vrstvách výšky cca 15cm. V první fázi se provádí obsyp a hutnění stran potrubí a doporučuje se zkrápění vodou.</w:t>
      </w:r>
    </w:p>
    <w:p w:rsidR="003D6951" w:rsidRDefault="003D6951" w:rsidP="003D6951">
      <w:pPr>
        <w:pStyle w:val="Zkladntextodsazen"/>
      </w:pPr>
      <w:r>
        <w:t xml:space="preserve">Obsyp kanalizačního potrubí by měl být proveden za stálého hutnění až do výšky min.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 nad vrch potrubí. Stabilita potrubí ve výkopu závisí především na kvalitě zhutnění, které by mělo dosáhnout rozmezí  85-95% původní struktury. Přímo nad potrubím se obsyp nezhutňuje.</w:t>
      </w:r>
    </w:p>
    <w:p w:rsidR="003D6951" w:rsidRDefault="003D6951" w:rsidP="003D6951">
      <w:pPr>
        <w:pStyle w:val="Nadpis2"/>
      </w:pPr>
      <w:bookmarkStart w:id="124" w:name="_Toc23258335"/>
      <w:bookmarkStart w:id="125" w:name="_Toc96386891"/>
      <w:bookmarkStart w:id="126" w:name="_Toc114834103"/>
      <w:bookmarkStart w:id="127" w:name="_Toc115331637"/>
      <w:bookmarkStart w:id="128" w:name="_Toc115754133"/>
      <w:bookmarkStart w:id="129" w:name="_Toc120978279"/>
      <w:bookmarkStart w:id="130" w:name="_Toc137977652"/>
      <w:bookmarkStart w:id="131" w:name="_Toc172353531"/>
      <w:bookmarkStart w:id="132" w:name="_Toc210374624"/>
      <w:bookmarkStart w:id="133" w:name="_Toc210699381"/>
      <w:bookmarkStart w:id="134" w:name="_Toc210795161"/>
      <w:bookmarkStart w:id="135" w:name="_Toc342398272"/>
      <w:bookmarkStart w:id="136" w:name="_Toc444693948"/>
      <w:bookmarkStart w:id="137" w:name="_Toc459105745"/>
      <w:r>
        <w:t>Zásyp rýhy s potrubím v zóně opětovného zásypu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3D6951" w:rsidRDefault="003D6951" w:rsidP="003D6951">
      <w:pPr>
        <w:rPr>
          <w:b/>
          <w:bCs/>
        </w:rPr>
      </w:pPr>
    </w:p>
    <w:p w:rsidR="003D6951" w:rsidRDefault="003D6951" w:rsidP="003D6951">
      <w:pPr>
        <w:pStyle w:val="Zkladntextodsazen"/>
      </w:pPr>
      <w:r>
        <w:t>Při zásypu rýhy s potrubím musí být splněny oprávněné požadavky správce nebo majitele vozovky. K zásypu je nutno použít takový materiál, který je možno bez potíží zhutnit – přednostně hrubozrnný materiál, nebo materiál se smíšeným zrnem. Jestliže je zaručeno pečlivé zhutnění a jestliže to přinese ekonomické přednosti, smí se při dodržení obsahu vody v tomto materiálu použít i materiál s vazným zrnem nebo jemnozrnný materiál.</w:t>
      </w:r>
    </w:p>
    <w:p w:rsidR="003D6951" w:rsidRDefault="003D6951" w:rsidP="003D6951">
      <w:pPr>
        <w:pStyle w:val="Zkladntextodsazen"/>
      </w:pPr>
      <w:r>
        <w:t>K dosažení požadovaného stupně zhutnění se použijí vhodné strojní mechanizmy. Uvnitř případného bezpečnostního pásma (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nad horní hranou potrubí) se použijí lehké zhutňovací mechanismy, např. vibrační pěchovačky s hmotností do </w:t>
      </w:r>
      <w:smartTag w:uri="urn:schemas-microsoft-com:office:smarttags" w:element="metricconverter">
        <w:smartTagPr>
          <w:attr w:name="ProductID" w:val="60 kg"/>
        </w:smartTagPr>
        <w:r>
          <w:t>60 kg</w:t>
        </w:r>
      </w:smartTag>
      <w:r>
        <w:t xml:space="preserve"> nebo pěchovačky s výbušným motorem do </w:t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. Nad tímto bezpečnostním pásmem smějí být použity i střední a těžké pěchovací přístroje – např. pěchovačky s výbušným motorem nad </w:t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>. Ve zvláštních případech, např. na přání správce silnice a v dohodě s ním, může být proveden potřebný důkaz nosnosti zóny opětovného zásypu, např. pomocí pokusu s nosnou destičkou.</w:t>
      </w:r>
    </w:p>
    <w:p w:rsidR="003D6951" w:rsidRDefault="003D6951" w:rsidP="003D6951"/>
    <w:p w:rsidR="003D6951" w:rsidRDefault="003D6951" w:rsidP="003D6951">
      <w:pPr>
        <w:pStyle w:val="Zkladntextodsazen"/>
      </w:pPr>
      <w:r>
        <w:t xml:space="preserve">Při pokládce kanalizace je vždy důležité správné uložení trouby na pískový podklad, dále pak boční obsyp a hutnění po vrstvách až nad vrch trouby. Patřičná pozornost musí být věnována i celkovému zásypu a konečné úpravě terénu. </w:t>
      </w:r>
    </w:p>
    <w:p w:rsidR="003D6951" w:rsidRDefault="003D6951" w:rsidP="003D6951">
      <w:pPr>
        <w:pStyle w:val="Nadpis2"/>
        <w:rPr>
          <w:bCs/>
        </w:rPr>
      </w:pPr>
      <w:bookmarkStart w:id="138" w:name="_Toc23258336"/>
      <w:bookmarkStart w:id="139" w:name="_Toc96386892"/>
      <w:bookmarkStart w:id="140" w:name="_Toc114834104"/>
      <w:bookmarkStart w:id="141" w:name="_Toc115331639"/>
      <w:bookmarkStart w:id="142" w:name="_Toc115754134"/>
      <w:bookmarkStart w:id="143" w:name="_Toc120978280"/>
      <w:bookmarkStart w:id="144" w:name="_Toc137977653"/>
      <w:bookmarkStart w:id="145" w:name="_Toc172353532"/>
      <w:bookmarkStart w:id="146" w:name="_Toc210374625"/>
      <w:bookmarkStart w:id="147" w:name="_Toc210699382"/>
      <w:bookmarkStart w:id="148" w:name="_Toc210795162"/>
      <w:bookmarkStart w:id="149" w:name="_Toc342398273"/>
      <w:bookmarkStart w:id="150" w:name="_Toc444693949"/>
      <w:bookmarkStart w:id="151" w:name="_Toc459105746"/>
      <w:r>
        <w:t>Kontrola jakosti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3D6951" w:rsidRDefault="003D6951" w:rsidP="003D6951">
      <w:pPr>
        <w:pStyle w:val="Nadpis2"/>
      </w:pPr>
      <w:bookmarkStart w:id="152" w:name="_Toc23258337"/>
      <w:bookmarkStart w:id="153" w:name="_Toc96386893"/>
      <w:bookmarkStart w:id="154" w:name="_Toc114834105"/>
      <w:bookmarkStart w:id="155" w:name="_Toc115331640"/>
      <w:bookmarkStart w:id="156" w:name="_Toc115754135"/>
      <w:bookmarkStart w:id="157" w:name="_Toc120978281"/>
      <w:bookmarkStart w:id="158" w:name="_Toc137977654"/>
      <w:bookmarkStart w:id="159" w:name="_Toc172353533"/>
      <w:bookmarkStart w:id="160" w:name="_Toc210374626"/>
      <w:bookmarkStart w:id="161" w:name="_Toc210699383"/>
      <w:bookmarkStart w:id="162" w:name="_Toc210795163"/>
      <w:bookmarkStart w:id="163" w:name="_Toc342398274"/>
      <w:bookmarkStart w:id="164" w:name="_Toc444693950"/>
      <w:bookmarkStart w:id="165" w:name="_Toc459105747"/>
      <w:r>
        <w:t>Zkouška vodotěsnosti stoky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3D6951" w:rsidRDefault="003D6951" w:rsidP="003D6951">
      <w:pPr>
        <w:rPr>
          <w:b/>
          <w:bCs/>
        </w:rPr>
      </w:pPr>
    </w:p>
    <w:p w:rsidR="003D6951" w:rsidRDefault="003D6951" w:rsidP="003D6951">
      <w:pPr>
        <w:ind w:left="284" w:firstLine="283"/>
      </w:pPr>
      <w:r>
        <w:t xml:space="preserve">Stoky s gravitačním průtokem odpadních vod s průtočnou plochou do </w:t>
      </w:r>
      <w:smartTag w:uri="urn:schemas-microsoft-com:office:smarttags" w:element="metricconverter">
        <w:smartTagPr>
          <w:attr w:name="ProductID" w:val="4 m2"/>
        </w:smartTagPr>
        <w:r>
          <w:t>4 m</w:t>
        </w:r>
        <w:r>
          <w:rPr>
            <w:vertAlign w:val="superscript"/>
          </w:rPr>
          <w:t>2</w:t>
        </w:r>
      </w:smartTag>
      <w:r>
        <w:t xml:space="preserve">, včetně zkoušek vodotěsnosti vstupních šachet, případně dalších objektů podle ČSN 75 6101 (1995) se zkouší podle normy ČSN 75 6906 „Zkoušky vodotěsnosti stok“. Stoky se zkoušejí na vodotěsnost zkušebním přetlakem </w:t>
      </w:r>
      <w:r>
        <w:lastRenderedPageBreak/>
        <w:t xml:space="preserve">vody způsobeným výškou vodního sloupce nejvýše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nade dnem stoky na dolním konci zkoušeného úseku.</w:t>
      </w:r>
    </w:p>
    <w:p w:rsidR="003D6951" w:rsidRDefault="003D6951" w:rsidP="003D6951">
      <w:pPr>
        <w:tabs>
          <w:tab w:val="left" w:pos="2913"/>
        </w:tabs>
        <w:ind w:left="284" w:firstLine="283"/>
      </w:pPr>
      <w:r>
        <w:t>O zkouškách vodotěsnosti se vždy vyhotoví zkušební protokol</w:t>
      </w:r>
    </w:p>
    <w:p w:rsidR="003D6951" w:rsidRDefault="003D6951" w:rsidP="003D6951">
      <w:pPr>
        <w:pStyle w:val="Nadpis1"/>
      </w:pPr>
      <w:bookmarkStart w:id="166" w:name="_Toc342398267"/>
      <w:bookmarkStart w:id="167" w:name="_Toc444693951"/>
      <w:bookmarkStart w:id="168" w:name="_Toc459105748"/>
      <w:r>
        <w:t>Šachty</w:t>
      </w:r>
      <w:bookmarkEnd w:id="166"/>
      <w:bookmarkEnd w:id="167"/>
      <w:bookmarkEnd w:id="168"/>
    </w:p>
    <w:p w:rsidR="003D6951" w:rsidRDefault="003D6951" w:rsidP="003D6951">
      <w:pPr>
        <w:pStyle w:val="Nadpis2"/>
      </w:pPr>
      <w:bookmarkStart w:id="169" w:name="_Toc342398268"/>
      <w:bookmarkStart w:id="170" w:name="_Toc444693952"/>
      <w:bookmarkStart w:id="171" w:name="_Toc459105749"/>
      <w:r>
        <w:t>Materiál</w:t>
      </w:r>
      <w:bookmarkEnd w:id="169"/>
      <w:bookmarkEnd w:id="170"/>
      <w:bookmarkEnd w:id="171"/>
    </w:p>
    <w:p w:rsidR="003D6951" w:rsidRDefault="003D6951" w:rsidP="003D6951">
      <w:pPr>
        <w:rPr>
          <w:b/>
          <w:bCs/>
        </w:rPr>
      </w:pPr>
    </w:p>
    <w:p w:rsidR="00AF70EE" w:rsidRDefault="003D6951" w:rsidP="003D6951">
      <w:r>
        <w:t>Šacht</w:t>
      </w:r>
      <w:r w:rsidR="00AF70EE">
        <w:t xml:space="preserve">y </w:t>
      </w:r>
      <w:r>
        <w:t xml:space="preserve"> j</w:t>
      </w:r>
      <w:r w:rsidR="00AF70EE">
        <w:t xml:space="preserve">sou </w:t>
      </w:r>
      <w:r>
        <w:t xml:space="preserve"> </w:t>
      </w:r>
      <w:r w:rsidR="00AF70EE">
        <w:t>navrženy betonové</w:t>
      </w:r>
      <w:r>
        <w:t xml:space="preserve">, dno šachty je vytvořené </w:t>
      </w:r>
      <w:r w:rsidR="00AF70EE">
        <w:t xml:space="preserve">betonovým </w:t>
      </w:r>
      <w:r>
        <w:t>žlabem</w:t>
      </w:r>
      <w:r w:rsidR="00AF70EE">
        <w:t>. Šachty musí být opatřeny litinovými nebo plastovým stupačkami.</w:t>
      </w:r>
      <w:r>
        <w:t xml:space="preserve">  </w:t>
      </w:r>
    </w:p>
    <w:p w:rsidR="00B73546" w:rsidRDefault="003D6951" w:rsidP="00C456CE">
      <w:r>
        <w:t xml:space="preserve">Typ poklopu D 400 litinový bez odvětrání + tlumicí vložka. </w:t>
      </w:r>
      <w:r w:rsidR="00AF70EE">
        <w:t>Viz příloha č.9-Tabulka kanalizačních šachet.</w:t>
      </w:r>
    </w:p>
    <w:p w:rsidR="0047479E" w:rsidRDefault="0047479E" w:rsidP="0047479E">
      <w:pPr>
        <w:pStyle w:val="Nadpis1"/>
        <w:rPr>
          <w:sz w:val="24"/>
          <w:szCs w:val="24"/>
        </w:rPr>
      </w:pPr>
      <w:bookmarkStart w:id="172" w:name="_Toc459105750"/>
      <w:r>
        <w:rPr>
          <w:sz w:val="24"/>
          <w:szCs w:val="24"/>
        </w:rPr>
        <w:t>Vytyčovací souřadnice</w:t>
      </w:r>
      <w:bookmarkEnd w:id="172"/>
    </w:p>
    <w:p w:rsidR="00641EAA" w:rsidRPr="00641EAA" w:rsidRDefault="00641EAA" w:rsidP="00641EAA"/>
    <w:tbl>
      <w:tblPr>
        <w:tblW w:w="5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9"/>
        <w:gridCol w:w="975"/>
        <w:gridCol w:w="863"/>
        <w:gridCol w:w="1299"/>
        <w:gridCol w:w="1360"/>
      </w:tblGrid>
      <w:tr w:rsidR="00641EAA" w:rsidRPr="00641EAA" w:rsidTr="00641EAA">
        <w:trPr>
          <w:trHeight w:val="25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41EAA">
              <w:rPr>
                <w:rFonts w:cs="Arial"/>
                <w:b/>
                <w:bCs/>
                <w:sz w:val="20"/>
              </w:rPr>
              <w:t>Vytyčovací souřadnice-kanalizace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Vrch. bod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Staničení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Terén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center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center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Y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-1080009,78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-715307,626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16,391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493,39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-715324,016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22,415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-1080012,11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-715329,485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64,554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-1080011,09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-715371,608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77,695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-715383,14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127,165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496,85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-1079988,97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-715430,014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177,049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-1079972,44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-715477,079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217,496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498,55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-1079960,67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-715515,775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241,402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499,05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-1079957,46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-715539,465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303,637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499,88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-1079960,6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-715601,62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348,363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-715604,534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Š11+Ž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370,619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499,25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-715626,787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641EAA" w:rsidRPr="00641EAA" w:rsidTr="00641EAA">
        <w:trPr>
          <w:trHeight w:val="25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41EAA">
              <w:rPr>
                <w:rFonts w:cs="Arial"/>
                <w:b/>
                <w:bCs/>
                <w:sz w:val="20"/>
              </w:rPr>
              <w:t xml:space="preserve">Vytyčovací </w:t>
            </w:r>
            <w:r w:rsidR="008750D5" w:rsidRPr="00641EAA">
              <w:rPr>
                <w:rFonts w:cs="Arial"/>
                <w:b/>
                <w:bCs/>
                <w:sz w:val="20"/>
              </w:rPr>
              <w:t>souřadnice</w:t>
            </w:r>
            <w:r w:rsidRPr="00641EAA">
              <w:rPr>
                <w:rFonts w:cs="Arial"/>
                <w:b/>
                <w:bCs/>
                <w:sz w:val="20"/>
              </w:rPr>
              <w:t xml:space="preserve"> vodovodu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Vrch. bod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Staničení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Terén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center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center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Y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zač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494,34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-1079999,88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-715353,594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kanal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11,69648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494,78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-1080011,49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-715355,038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lom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12,21445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-1080012,01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-715355,102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lom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29,03223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-715371,915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lom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42,21747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-1080005,32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-715383,507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lom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109,0208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-1079983,59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-715446,642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kanal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109,4345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-715446,507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siln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111,5412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-1079981,2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-715445,839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sil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117,3867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-1079975,69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-715443,89</w:t>
            </w:r>
          </w:p>
        </w:tc>
      </w:tr>
      <w:tr w:rsidR="00641EAA" w:rsidRPr="00641EAA" w:rsidTr="00641EAA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lef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voda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120,37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497,6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-1079971,52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AA" w:rsidRPr="00641EAA" w:rsidRDefault="00641EAA" w:rsidP="00641EAA">
            <w:pPr>
              <w:ind w:firstLine="0"/>
              <w:jc w:val="right"/>
              <w:rPr>
                <w:rFonts w:cs="Arial"/>
                <w:sz w:val="20"/>
              </w:rPr>
            </w:pPr>
            <w:r w:rsidRPr="00641EAA">
              <w:rPr>
                <w:rFonts w:cs="Arial"/>
                <w:sz w:val="20"/>
              </w:rPr>
              <w:t>-715442,477</w:t>
            </w:r>
          </w:p>
        </w:tc>
      </w:tr>
    </w:tbl>
    <w:p w:rsidR="0047479E" w:rsidRDefault="0047479E" w:rsidP="00C456CE"/>
    <w:p w:rsidR="0047479E" w:rsidRDefault="0047479E" w:rsidP="00C456CE"/>
    <w:p w:rsidR="0047479E" w:rsidRDefault="0047479E" w:rsidP="00C456CE"/>
    <w:p w:rsidR="0047479E" w:rsidRDefault="0047479E" w:rsidP="00C456CE"/>
    <w:p w:rsidR="0047479E" w:rsidRDefault="0047479E" w:rsidP="00C456CE">
      <w:pPr>
        <w:rPr>
          <w:rFonts w:cs="Arial"/>
          <w:szCs w:val="24"/>
        </w:rPr>
      </w:pPr>
    </w:p>
    <w:p w:rsidR="00641EAA" w:rsidRDefault="00641EAA" w:rsidP="00C456CE">
      <w:pPr>
        <w:rPr>
          <w:rFonts w:cs="Arial"/>
          <w:szCs w:val="24"/>
        </w:rPr>
      </w:pPr>
    </w:p>
    <w:p w:rsidR="003F13BF" w:rsidRDefault="003F13BF" w:rsidP="00A96331">
      <w:pPr>
        <w:pStyle w:val="Nadpis1"/>
        <w:rPr>
          <w:sz w:val="24"/>
          <w:szCs w:val="24"/>
        </w:rPr>
      </w:pPr>
      <w:bookmarkStart w:id="173" w:name="_Toc501454554"/>
      <w:bookmarkStart w:id="174" w:name="_Toc459105751"/>
      <w:r w:rsidRPr="00A96331">
        <w:rPr>
          <w:sz w:val="24"/>
          <w:szCs w:val="24"/>
        </w:rPr>
        <w:lastRenderedPageBreak/>
        <w:t>Závěr</w:t>
      </w:r>
      <w:bookmarkEnd w:id="173"/>
      <w:bookmarkEnd w:id="174"/>
    </w:p>
    <w:p w:rsidR="00C456CE" w:rsidRDefault="00C456CE" w:rsidP="00C456CE"/>
    <w:p w:rsidR="00C456CE" w:rsidRDefault="00C456CE" w:rsidP="00C456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b/>
        </w:rPr>
      </w:pPr>
    </w:p>
    <w:p w:rsidR="00C456CE" w:rsidRDefault="00C456CE" w:rsidP="00C456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b/>
        </w:rPr>
      </w:pPr>
      <w:r>
        <w:rPr>
          <w:b/>
        </w:rPr>
        <w:t xml:space="preserve">Před zahájením výkopových prací zajistí investor stavby vytýčení   </w:t>
      </w:r>
    </w:p>
    <w:p w:rsidR="00C456CE" w:rsidRDefault="00C456CE" w:rsidP="00C456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b/>
        </w:rPr>
      </w:pPr>
      <w:r>
        <w:rPr>
          <w:b/>
        </w:rPr>
        <w:t>všech podzemních sítí a jejich zajištění proti poškození.</w:t>
      </w:r>
    </w:p>
    <w:p w:rsidR="00C456CE" w:rsidRDefault="00C456CE" w:rsidP="00C456CE"/>
    <w:p w:rsidR="00901050" w:rsidRDefault="00901050" w:rsidP="007E04D0"/>
    <w:p w:rsidR="00901050" w:rsidRDefault="00901050" w:rsidP="00901050">
      <w:pPr>
        <w:pStyle w:val="Zkladntextodsazen"/>
      </w:pPr>
      <w:r>
        <w:t xml:space="preserve">Navrženou výstavbou nového vodovodního a kanalizačního řadu bude trvalé zajištění </w:t>
      </w:r>
      <w:r w:rsidR="00706220">
        <w:t xml:space="preserve">pitné vody pro </w:t>
      </w:r>
      <w:r w:rsidR="00AF70EE">
        <w:t xml:space="preserve">nové </w:t>
      </w:r>
      <w:r w:rsidR="00706220">
        <w:t xml:space="preserve">stavební parcely </w:t>
      </w:r>
      <w:r>
        <w:t>a současně odvedení odpadních splaškových vod na centrální ČOV</w:t>
      </w:r>
      <w:r w:rsidR="00AF70EE">
        <w:t>, zatím z objektu ploché dráhy.</w:t>
      </w:r>
      <w:r>
        <w:t xml:space="preserve"> </w:t>
      </w:r>
    </w:p>
    <w:p w:rsidR="00706220" w:rsidRDefault="00706220" w:rsidP="00901050">
      <w:pPr>
        <w:pStyle w:val="Zkladntextodsazen"/>
      </w:pPr>
    </w:p>
    <w:p w:rsidR="00706220" w:rsidRDefault="00706220" w:rsidP="00901050">
      <w:pPr>
        <w:pStyle w:val="Zkladntextodsazen"/>
      </w:pPr>
    </w:p>
    <w:p w:rsidR="00706220" w:rsidRDefault="00706220" w:rsidP="00901050">
      <w:pPr>
        <w:pStyle w:val="Zkladntextodsazen"/>
      </w:pPr>
    </w:p>
    <w:p w:rsidR="00C456CE" w:rsidRDefault="00C456CE" w:rsidP="00901050">
      <w:pPr>
        <w:pStyle w:val="Zkladntextodsazen"/>
      </w:pPr>
    </w:p>
    <w:p w:rsidR="00C456CE" w:rsidRDefault="00C456CE" w:rsidP="00901050">
      <w:pPr>
        <w:pStyle w:val="Zkladntextodsazen"/>
      </w:pPr>
    </w:p>
    <w:p w:rsidR="00901050" w:rsidRDefault="00901050" w:rsidP="007E04D0"/>
    <w:p w:rsidR="003F13BF" w:rsidRDefault="003F13BF">
      <w:pPr>
        <w:rPr>
          <w:b/>
          <w:u w:val="single"/>
        </w:rPr>
      </w:pPr>
    </w:p>
    <w:p w:rsidR="002B6652" w:rsidRDefault="00D26428">
      <w:pPr>
        <w:rPr>
          <w:b/>
        </w:rPr>
      </w:pPr>
      <w:r>
        <w:rPr>
          <w:b/>
        </w:rPr>
        <w:t>Červenec</w:t>
      </w:r>
      <w:r w:rsidR="00731700">
        <w:rPr>
          <w:b/>
        </w:rPr>
        <w:t xml:space="preserve"> 2016</w:t>
      </w:r>
    </w:p>
    <w:sectPr w:rsidR="002B6652" w:rsidSect="00C367E2">
      <w:headerReference w:type="default" r:id="rId8"/>
      <w:footerReference w:type="even" r:id="rId9"/>
      <w:footerReference w:type="default" r:id="rId10"/>
      <w:pgSz w:w="11907" w:h="16840" w:code="9"/>
      <w:pgMar w:top="1418" w:right="1417" w:bottom="1701" w:left="1871" w:header="708" w:footer="11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86" w:rsidRDefault="005A7F86">
      <w:r>
        <w:separator/>
      </w:r>
    </w:p>
  </w:endnote>
  <w:endnote w:type="continuationSeparator" w:id="1">
    <w:p w:rsidR="005A7F86" w:rsidRDefault="005A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3F" w:rsidRDefault="006414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20</w:t>
    </w:r>
    <w:r>
      <w:rPr>
        <w:rStyle w:val="slostrnky"/>
      </w:rPr>
      <w:fldChar w:fldCharType="end"/>
    </w:r>
  </w:p>
  <w:p w:rsidR="0064143F" w:rsidRDefault="006414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3F" w:rsidRDefault="006414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00B4">
      <w:rPr>
        <w:rStyle w:val="slostrnky"/>
        <w:noProof/>
      </w:rPr>
      <w:t>1</w:t>
    </w:r>
    <w:r>
      <w:rPr>
        <w:rStyle w:val="slostrnky"/>
      </w:rPr>
      <w:fldChar w:fldCharType="end"/>
    </w:r>
  </w:p>
  <w:p w:rsidR="0064143F" w:rsidRDefault="006414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86" w:rsidRDefault="005A7F86">
      <w:r>
        <w:separator/>
      </w:r>
    </w:p>
  </w:footnote>
  <w:footnote w:type="continuationSeparator" w:id="1">
    <w:p w:rsidR="005A7F86" w:rsidRDefault="005A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3F" w:rsidRDefault="0064143F">
    <w:pPr>
      <w:pStyle w:val="Zhlav"/>
      <w:jc w:val="right"/>
    </w:pPr>
    <w:r>
      <w:t xml:space="preserve">D-Technická zpráva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80BA3"/>
    <w:multiLevelType w:val="hybridMultilevel"/>
    <w:tmpl w:val="34365078"/>
    <w:lvl w:ilvl="0" w:tplc="8A16FF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64D776E"/>
    <w:multiLevelType w:val="hybridMultilevel"/>
    <w:tmpl w:val="A20A0ACE"/>
    <w:lvl w:ilvl="0" w:tplc="DD4A1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650A9"/>
    <w:multiLevelType w:val="singleLevel"/>
    <w:tmpl w:val="5EC8B3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5B00217"/>
    <w:multiLevelType w:val="hybridMultilevel"/>
    <w:tmpl w:val="483EC688"/>
    <w:lvl w:ilvl="0" w:tplc="68C26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37967"/>
    <w:multiLevelType w:val="hybridMultilevel"/>
    <w:tmpl w:val="92067D40"/>
    <w:lvl w:ilvl="0" w:tplc="FFF29C9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8C1030"/>
    <w:multiLevelType w:val="hybridMultilevel"/>
    <w:tmpl w:val="9010425C"/>
    <w:lvl w:ilvl="0" w:tplc="64EE7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4D53"/>
    <w:multiLevelType w:val="singleLevel"/>
    <w:tmpl w:val="55C49B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5FD5929"/>
    <w:multiLevelType w:val="singleLevel"/>
    <w:tmpl w:val="68C27A6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0">
    <w:nsid w:val="73334B45"/>
    <w:multiLevelType w:val="hybridMultilevel"/>
    <w:tmpl w:val="0EA2E1B2"/>
    <w:lvl w:ilvl="0" w:tplc="2D36CB54">
      <w:start w:val="2"/>
      <w:numFmt w:val="bullet"/>
      <w:lvlText w:val="–"/>
      <w:lvlJc w:val="left"/>
      <w:pPr>
        <w:tabs>
          <w:tab w:val="num" w:pos="1917"/>
        </w:tabs>
        <w:ind w:left="19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11">
    <w:nsid w:val="781A4586"/>
    <w:multiLevelType w:val="hybridMultilevel"/>
    <w:tmpl w:val="7B2A5B3C"/>
    <w:lvl w:ilvl="0" w:tplc="10D2C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C5CC1"/>
    <w:multiLevelType w:val="hybridMultilevel"/>
    <w:tmpl w:val="65FE464A"/>
    <w:lvl w:ilvl="0" w:tplc="B9E41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8B1"/>
    <w:rsid w:val="000000B4"/>
    <w:rsid w:val="00012673"/>
    <w:rsid w:val="00014D38"/>
    <w:rsid w:val="0002142A"/>
    <w:rsid w:val="0002246C"/>
    <w:rsid w:val="00031D78"/>
    <w:rsid w:val="00036563"/>
    <w:rsid w:val="00054BCB"/>
    <w:rsid w:val="00054F7B"/>
    <w:rsid w:val="0005612C"/>
    <w:rsid w:val="0007146D"/>
    <w:rsid w:val="00086A40"/>
    <w:rsid w:val="00096A5E"/>
    <w:rsid w:val="00097652"/>
    <w:rsid w:val="000B4ADF"/>
    <w:rsid w:val="000B507B"/>
    <w:rsid w:val="000C2C07"/>
    <w:rsid w:val="000C3020"/>
    <w:rsid w:val="001178F5"/>
    <w:rsid w:val="00126FAC"/>
    <w:rsid w:val="00127528"/>
    <w:rsid w:val="0013191B"/>
    <w:rsid w:val="0013354F"/>
    <w:rsid w:val="00141EBF"/>
    <w:rsid w:val="00152C3E"/>
    <w:rsid w:val="001725B8"/>
    <w:rsid w:val="00174F72"/>
    <w:rsid w:val="001856C4"/>
    <w:rsid w:val="001A3D47"/>
    <w:rsid w:val="001B1369"/>
    <w:rsid w:val="001B1B48"/>
    <w:rsid w:val="001B541D"/>
    <w:rsid w:val="001C34DE"/>
    <w:rsid w:val="001C55C0"/>
    <w:rsid w:val="001D5A58"/>
    <w:rsid w:val="001F5B91"/>
    <w:rsid w:val="002013F6"/>
    <w:rsid w:val="0020216D"/>
    <w:rsid w:val="00203D4C"/>
    <w:rsid w:val="002125B3"/>
    <w:rsid w:val="00226AB3"/>
    <w:rsid w:val="0026048A"/>
    <w:rsid w:val="00274196"/>
    <w:rsid w:val="002838FF"/>
    <w:rsid w:val="002B39D3"/>
    <w:rsid w:val="002B6652"/>
    <w:rsid w:val="002C3797"/>
    <w:rsid w:val="002C69CF"/>
    <w:rsid w:val="002D0D41"/>
    <w:rsid w:val="002D67B4"/>
    <w:rsid w:val="002E03C9"/>
    <w:rsid w:val="002E7A42"/>
    <w:rsid w:val="002F4BBE"/>
    <w:rsid w:val="00300AF8"/>
    <w:rsid w:val="00313137"/>
    <w:rsid w:val="00325845"/>
    <w:rsid w:val="00343976"/>
    <w:rsid w:val="0034668E"/>
    <w:rsid w:val="00356106"/>
    <w:rsid w:val="003751DB"/>
    <w:rsid w:val="00376BC2"/>
    <w:rsid w:val="00391C7D"/>
    <w:rsid w:val="003A4BB6"/>
    <w:rsid w:val="003C1BBE"/>
    <w:rsid w:val="003D119E"/>
    <w:rsid w:val="003D50DD"/>
    <w:rsid w:val="003D6951"/>
    <w:rsid w:val="003E4E05"/>
    <w:rsid w:val="003F138C"/>
    <w:rsid w:val="003F13BF"/>
    <w:rsid w:val="003F1CB0"/>
    <w:rsid w:val="003F4372"/>
    <w:rsid w:val="00410A6E"/>
    <w:rsid w:val="0042577A"/>
    <w:rsid w:val="00425C8C"/>
    <w:rsid w:val="004403C4"/>
    <w:rsid w:val="00454C0D"/>
    <w:rsid w:val="004602DC"/>
    <w:rsid w:val="0047479E"/>
    <w:rsid w:val="00480B8E"/>
    <w:rsid w:val="0048114B"/>
    <w:rsid w:val="00493D46"/>
    <w:rsid w:val="004A14DB"/>
    <w:rsid w:val="004A69EB"/>
    <w:rsid w:val="004B2AE0"/>
    <w:rsid w:val="004B5E8A"/>
    <w:rsid w:val="004B68BF"/>
    <w:rsid w:val="004B717F"/>
    <w:rsid w:val="004C6E83"/>
    <w:rsid w:val="004E1425"/>
    <w:rsid w:val="004F1744"/>
    <w:rsid w:val="00502D39"/>
    <w:rsid w:val="005203CD"/>
    <w:rsid w:val="00542EA4"/>
    <w:rsid w:val="005434D8"/>
    <w:rsid w:val="005474CA"/>
    <w:rsid w:val="005503E5"/>
    <w:rsid w:val="00562133"/>
    <w:rsid w:val="00563433"/>
    <w:rsid w:val="00576180"/>
    <w:rsid w:val="00585EDD"/>
    <w:rsid w:val="00596CB6"/>
    <w:rsid w:val="005A218D"/>
    <w:rsid w:val="005A2BC8"/>
    <w:rsid w:val="005A7E0F"/>
    <w:rsid w:val="005A7F86"/>
    <w:rsid w:val="005D14F9"/>
    <w:rsid w:val="005D19E5"/>
    <w:rsid w:val="005D66E1"/>
    <w:rsid w:val="005F243F"/>
    <w:rsid w:val="005F45D4"/>
    <w:rsid w:val="006036EE"/>
    <w:rsid w:val="00603DF5"/>
    <w:rsid w:val="00605E9A"/>
    <w:rsid w:val="00617E05"/>
    <w:rsid w:val="00620A67"/>
    <w:rsid w:val="006247EF"/>
    <w:rsid w:val="0064143F"/>
    <w:rsid w:val="00641EAA"/>
    <w:rsid w:val="00644EE7"/>
    <w:rsid w:val="00650DC6"/>
    <w:rsid w:val="00670C89"/>
    <w:rsid w:val="0067602F"/>
    <w:rsid w:val="006977EA"/>
    <w:rsid w:val="006A24E3"/>
    <w:rsid w:val="006A5BCD"/>
    <w:rsid w:val="006B5D2C"/>
    <w:rsid w:val="006C050F"/>
    <w:rsid w:val="006C73FD"/>
    <w:rsid w:val="006E1EA8"/>
    <w:rsid w:val="006E4F4B"/>
    <w:rsid w:val="006E56B7"/>
    <w:rsid w:val="006F203E"/>
    <w:rsid w:val="0070493C"/>
    <w:rsid w:val="00706220"/>
    <w:rsid w:val="00731700"/>
    <w:rsid w:val="0075330B"/>
    <w:rsid w:val="007604EE"/>
    <w:rsid w:val="007836DC"/>
    <w:rsid w:val="00783CFB"/>
    <w:rsid w:val="007A1C62"/>
    <w:rsid w:val="007A3024"/>
    <w:rsid w:val="007B4815"/>
    <w:rsid w:val="007B70AB"/>
    <w:rsid w:val="007E04D0"/>
    <w:rsid w:val="007E0803"/>
    <w:rsid w:val="007E2A51"/>
    <w:rsid w:val="007E6A1D"/>
    <w:rsid w:val="007F4BF6"/>
    <w:rsid w:val="0081614B"/>
    <w:rsid w:val="00817CD9"/>
    <w:rsid w:val="0084021C"/>
    <w:rsid w:val="0085363F"/>
    <w:rsid w:val="0085436A"/>
    <w:rsid w:val="008569ED"/>
    <w:rsid w:val="008609F3"/>
    <w:rsid w:val="008750D5"/>
    <w:rsid w:val="00877CBE"/>
    <w:rsid w:val="00895D98"/>
    <w:rsid w:val="008963CB"/>
    <w:rsid w:val="008A22B5"/>
    <w:rsid w:val="008A3CFA"/>
    <w:rsid w:val="008C2353"/>
    <w:rsid w:val="008C358A"/>
    <w:rsid w:val="00901050"/>
    <w:rsid w:val="00934A84"/>
    <w:rsid w:val="0094714C"/>
    <w:rsid w:val="00950DC7"/>
    <w:rsid w:val="009525B0"/>
    <w:rsid w:val="00993E1B"/>
    <w:rsid w:val="009A3820"/>
    <w:rsid w:val="009B34F1"/>
    <w:rsid w:val="009B7D42"/>
    <w:rsid w:val="009C5AB0"/>
    <w:rsid w:val="009E1FE7"/>
    <w:rsid w:val="009F646A"/>
    <w:rsid w:val="00A148B1"/>
    <w:rsid w:val="00A21F67"/>
    <w:rsid w:val="00A26508"/>
    <w:rsid w:val="00A34D38"/>
    <w:rsid w:val="00A35D5F"/>
    <w:rsid w:val="00A4080F"/>
    <w:rsid w:val="00A42C09"/>
    <w:rsid w:val="00A56A01"/>
    <w:rsid w:val="00A86054"/>
    <w:rsid w:val="00A96331"/>
    <w:rsid w:val="00AA28DE"/>
    <w:rsid w:val="00AC670A"/>
    <w:rsid w:val="00AD4D7A"/>
    <w:rsid w:val="00AE0BBC"/>
    <w:rsid w:val="00AE12EC"/>
    <w:rsid w:val="00AE4A25"/>
    <w:rsid w:val="00AE7C05"/>
    <w:rsid w:val="00AF70EE"/>
    <w:rsid w:val="00B03AB2"/>
    <w:rsid w:val="00B04D0D"/>
    <w:rsid w:val="00B1553D"/>
    <w:rsid w:val="00B155DE"/>
    <w:rsid w:val="00B37EBF"/>
    <w:rsid w:val="00B645F1"/>
    <w:rsid w:val="00B73546"/>
    <w:rsid w:val="00B756FB"/>
    <w:rsid w:val="00B936E2"/>
    <w:rsid w:val="00BD0BA3"/>
    <w:rsid w:val="00BD184C"/>
    <w:rsid w:val="00BE1A14"/>
    <w:rsid w:val="00BE4712"/>
    <w:rsid w:val="00C367E2"/>
    <w:rsid w:val="00C427D3"/>
    <w:rsid w:val="00C456CE"/>
    <w:rsid w:val="00C51D6F"/>
    <w:rsid w:val="00C54114"/>
    <w:rsid w:val="00C553FE"/>
    <w:rsid w:val="00C61C59"/>
    <w:rsid w:val="00C67A05"/>
    <w:rsid w:val="00C7188A"/>
    <w:rsid w:val="00C8539A"/>
    <w:rsid w:val="00C87CA3"/>
    <w:rsid w:val="00CA41C7"/>
    <w:rsid w:val="00CC3250"/>
    <w:rsid w:val="00CD678B"/>
    <w:rsid w:val="00CE0C03"/>
    <w:rsid w:val="00CE1499"/>
    <w:rsid w:val="00CE7FB7"/>
    <w:rsid w:val="00CF42D8"/>
    <w:rsid w:val="00CF6B64"/>
    <w:rsid w:val="00D03002"/>
    <w:rsid w:val="00D1377A"/>
    <w:rsid w:val="00D13C3E"/>
    <w:rsid w:val="00D26428"/>
    <w:rsid w:val="00D26A36"/>
    <w:rsid w:val="00D27E30"/>
    <w:rsid w:val="00D32076"/>
    <w:rsid w:val="00D553FB"/>
    <w:rsid w:val="00D56008"/>
    <w:rsid w:val="00D77AC2"/>
    <w:rsid w:val="00D8644E"/>
    <w:rsid w:val="00D866F3"/>
    <w:rsid w:val="00DA08DF"/>
    <w:rsid w:val="00DA454C"/>
    <w:rsid w:val="00DB180C"/>
    <w:rsid w:val="00DB2444"/>
    <w:rsid w:val="00DC4217"/>
    <w:rsid w:val="00DD63E6"/>
    <w:rsid w:val="00DF47D2"/>
    <w:rsid w:val="00E00EDB"/>
    <w:rsid w:val="00E16FFB"/>
    <w:rsid w:val="00E328CA"/>
    <w:rsid w:val="00E83AC8"/>
    <w:rsid w:val="00E92337"/>
    <w:rsid w:val="00ED767A"/>
    <w:rsid w:val="00EE0A99"/>
    <w:rsid w:val="00EE5AB9"/>
    <w:rsid w:val="00EE5B71"/>
    <w:rsid w:val="00EF751C"/>
    <w:rsid w:val="00F27103"/>
    <w:rsid w:val="00F34870"/>
    <w:rsid w:val="00F6418D"/>
    <w:rsid w:val="00F8286F"/>
    <w:rsid w:val="00F91863"/>
    <w:rsid w:val="00FB09FE"/>
    <w:rsid w:val="00FC1510"/>
    <w:rsid w:val="00FD3AD5"/>
    <w:rsid w:val="00FD5213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7E2"/>
    <w:pPr>
      <w:ind w:firstLine="567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C367E2"/>
    <w:pPr>
      <w:keepNext/>
      <w:numPr>
        <w:numId w:val="1"/>
      </w:numPr>
      <w:spacing w:before="240" w:after="60"/>
      <w:ind w:firstLine="0"/>
      <w:jc w:val="left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C367E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C367E2"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367E2"/>
    <w:pPr>
      <w:keepNext/>
      <w:numPr>
        <w:ilvl w:val="3"/>
        <w:numId w:val="1"/>
      </w:numPr>
      <w:spacing w:before="240" w:after="60"/>
      <w:ind w:firstLine="0"/>
      <w:outlineLvl w:val="3"/>
    </w:pPr>
  </w:style>
  <w:style w:type="paragraph" w:styleId="Nadpis5">
    <w:name w:val="heading 5"/>
    <w:basedOn w:val="Normln"/>
    <w:next w:val="Normln"/>
    <w:qFormat/>
    <w:rsid w:val="00C367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367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C367E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367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367E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367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67E2"/>
  </w:style>
  <w:style w:type="paragraph" w:styleId="Zhlav">
    <w:name w:val="header"/>
    <w:basedOn w:val="Normln"/>
    <w:rsid w:val="00C367E2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rsid w:val="00C367E2"/>
    <w:pPr>
      <w:tabs>
        <w:tab w:val="right" w:leader="underscore" w:pos="8221"/>
      </w:tabs>
      <w:spacing w:before="120"/>
      <w:ind w:firstLine="0"/>
    </w:pPr>
    <w:rPr>
      <w:rFonts w:ascii="Times New Roman" w:hAnsi="Times New Roman"/>
      <w:b/>
      <w:i/>
    </w:rPr>
  </w:style>
  <w:style w:type="paragraph" w:styleId="Obsah2">
    <w:name w:val="toc 2"/>
    <w:basedOn w:val="Normln"/>
    <w:next w:val="Normln"/>
    <w:uiPriority w:val="39"/>
    <w:rsid w:val="00C367E2"/>
    <w:pPr>
      <w:tabs>
        <w:tab w:val="right" w:leader="underscore" w:pos="8221"/>
      </w:tabs>
      <w:spacing w:before="120"/>
      <w:ind w:left="200"/>
    </w:pPr>
    <w:rPr>
      <w:rFonts w:ascii="Times New Roman" w:hAnsi="Times New Roman"/>
      <w:b/>
      <w:sz w:val="22"/>
    </w:rPr>
  </w:style>
  <w:style w:type="paragraph" w:styleId="Obsah3">
    <w:name w:val="toc 3"/>
    <w:basedOn w:val="Normln"/>
    <w:next w:val="Normln"/>
    <w:semiHidden/>
    <w:rsid w:val="00C367E2"/>
    <w:pPr>
      <w:tabs>
        <w:tab w:val="right" w:leader="underscore" w:pos="8221"/>
      </w:tabs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uiPriority w:val="39"/>
    <w:rsid w:val="00C367E2"/>
    <w:pPr>
      <w:tabs>
        <w:tab w:val="right" w:leader="underscore" w:pos="8221"/>
      </w:tabs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rsid w:val="00C367E2"/>
    <w:pPr>
      <w:tabs>
        <w:tab w:val="right" w:leader="underscore" w:pos="8221"/>
      </w:tabs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rsid w:val="00C367E2"/>
    <w:pPr>
      <w:tabs>
        <w:tab w:val="right" w:leader="underscore" w:pos="8221"/>
      </w:tabs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rsid w:val="00C367E2"/>
    <w:pPr>
      <w:tabs>
        <w:tab w:val="right" w:leader="underscore" w:pos="8221"/>
      </w:tabs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rsid w:val="00C367E2"/>
    <w:pPr>
      <w:tabs>
        <w:tab w:val="right" w:leader="underscore" w:pos="8221"/>
      </w:tabs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rsid w:val="00C367E2"/>
    <w:pPr>
      <w:tabs>
        <w:tab w:val="right" w:leader="underscore" w:pos="8221"/>
      </w:tabs>
      <w:ind w:firstLine="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sid w:val="00C367E2"/>
    <w:rPr>
      <w:sz w:val="16"/>
    </w:rPr>
  </w:style>
  <w:style w:type="paragraph" w:styleId="Textkomente">
    <w:name w:val="annotation text"/>
    <w:basedOn w:val="Normln"/>
    <w:semiHidden/>
    <w:rsid w:val="00C367E2"/>
    <w:rPr>
      <w:rFonts w:ascii="Times New Roman" w:hAnsi="Times New Roman"/>
    </w:rPr>
  </w:style>
  <w:style w:type="paragraph" w:styleId="Seznamobrzk">
    <w:name w:val="table of figures"/>
    <w:basedOn w:val="Normln"/>
    <w:next w:val="Normln"/>
    <w:semiHidden/>
    <w:rsid w:val="00C367E2"/>
    <w:pPr>
      <w:tabs>
        <w:tab w:val="right" w:leader="dot" w:pos="8221"/>
      </w:tabs>
      <w:ind w:left="480" w:hanging="480"/>
    </w:pPr>
  </w:style>
  <w:style w:type="paragraph" w:styleId="Zkladntextodsazen">
    <w:name w:val="Body Text Indent"/>
    <w:basedOn w:val="Normln"/>
    <w:rsid w:val="00C367E2"/>
    <w:pPr>
      <w:ind w:left="284" w:firstLine="283"/>
    </w:pPr>
  </w:style>
  <w:style w:type="paragraph" w:styleId="Odstavecseseznamem">
    <w:name w:val="List Paragraph"/>
    <w:basedOn w:val="Normln"/>
    <w:uiPriority w:val="34"/>
    <w:qFormat/>
    <w:rsid w:val="00BE1A14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895D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95D98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26A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6A36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C61C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61C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668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6275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9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689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423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401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320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100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163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359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0845">
                  <w:marLeft w:val="4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338B-50B9-435F-95D9-9DDEC2E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2454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SOUHRNNÁ    TECHNICKÁ    ZPRÁVA</vt:lpstr>
    </vt:vector>
  </TitlesOfParts>
  <Company>VODOMONT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SOUHRNNÁ    TECHNICKÁ    ZPRÁVA</dc:title>
  <dc:subject/>
  <dc:creator>Jan Bejček</dc:creator>
  <cp:keywords/>
  <dc:description/>
  <cp:lastModifiedBy>Jan</cp:lastModifiedBy>
  <cp:revision>109</cp:revision>
  <cp:lastPrinted>2016-08-16T09:07:00Z</cp:lastPrinted>
  <dcterms:created xsi:type="dcterms:W3CDTF">2013-06-30T17:10:00Z</dcterms:created>
  <dcterms:modified xsi:type="dcterms:W3CDTF">2016-08-16T09:10:00Z</dcterms:modified>
</cp:coreProperties>
</file>